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5C365011" w:rsidR="009B6FD7" w:rsidRPr="00F30BA3" w:rsidRDefault="002A6109" w:rsidP="00561A93">
      <w:pPr>
        <w:spacing w:after="480"/>
        <w:jc w:val="both"/>
        <w:rPr>
          <w:rFonts w:cs="Arial"/>
          <w:szCs w:val="24"/>
        </w:rPr>
      </w:pPr>
      <w:r w:rsidRPr="00F30BA3">
        <w:rPr>
          <w:rFonts w:cs="Arial"/>
          <w:noProof/>
          <w:szCs w:val="24"/>
        </w:rPr>
        <w:drawing>
          <wp:inline distT="0" distB="0" distL="0" distR="0" wp14:anchorId="46BE6BEA" wp14:editId="123EC1FC">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0"/>
        <w:gridCol w:w="4929"/>
      </w:tblGrid>
      <w:tr w:rsidR="009B6FD7" w:rsidRPr="00F30BA3" w14:paraId="71B66420" w14:textId="77777777" w:rsidTr="11726AE4">
        <w:trPr>
          <w:tblHeader/>
        </w:trPr>
        <w:tc>
          <w:tcPr>
            <w:tcW w:w="3456" w:type="dxa"/>
            <w:tcBorders>
              <w:bottom w:val="single" w:sz="18" w:space="0" w:color="auto"/>
            </w:tcBorders>
          </w:tcPr>
          <w:p w14:paraId="4BD626CD" w14:textId="77777777" w:rsidR="009B6FD7" w:rsidRPr="000256BE" w:rsidRDefault="009B6FD7" w:rsidP="00561A93">
            <w:pPr>
              <w:pStyle w:val="Heading1"/>
              <w:jc w:val="both"/>
            </w:pPr>
            <w:r w:rsidRPr="000256BE">
              <w:t>Report for:</w:t>
            </w:r>
          </w:p>
        </w:tc>
        <w:tc>
          <w:tcPr>
            <w:tcW w:w="5054" w:type="dxa"/>
            <w:tcBorders>
              <w:bottom w:val="single" w:sz="18" w:space="0" w:color="auto"/>
            </w:tcBorders>
          </w:tcPr>
          <w:p w14:paraId="719B6674" w14:textId="77777777" w:rsidR="009B6FD7" w:rsidRPr="000256BE" w:rsidRDefault="009B6FD7" w:rsidP="00561A93">
            <w:pPr>
              <w:pStyle w:val="Heading1"/>
              <w:jc w:val="both"/>
              <w:rPr>
                <w:color w:val="0000FF"/>
              </w:rPr>
            </w:pPr>
            <w:r w:rsidRPr="000256BE">
              <w:t xml:space="preserve">Health and Wellbeing Board  </w:t>
            </w:r>
          </w:p>
        </w:tc>
      </w:tr>
      <w:tr w:rsidR="009B6FD7" w:rsidRPr="00F30BA3" w14:paraId="0A599729" w14:textId="77777777" w:rsidTr="11726AE4">
        <w:tc>
          <w:tcPr>
            <w:tcW w:w="3456" w:type="dxa"/>
            <w:tcBorders>
              <w:top w:val="single" w:sz="18" w:space="0" w:color="auto"/>
            </w:tcBorders>
          </w:tcPr>
          <w:p w14:paraId="7D2C26B8" w14:textId="77777777" w:rsidR="009B6FD7" w:rsidRPr="00F30BA3" w:rsidRDefault="009B6FD7" w:rsidP="00561A93">
            <w:pPr>
              <w:pStyle w:val="Infotext"/>
              <w:jc w:val="both"/>
              <w:rPr>
                <w:rFonts w:cs="Arial"/>
                <w:sz w:val="24"/>
                <w:szCs w:val="24"/>
              </w:rPr>
            </w:pPr>
            <w:r w:rsidRPr="00F30BA3">
              <w:rPr>
                <w:rFonts w:cs="Arial"/>
                <w:sz w:val="24"/>
                <w:szCs w:val="24"/>
              </w:rPr>
              <w:t>Date of Meeting:</w:t>
            </w:r>
          </w:p>
          <w:p w14:paraId="21D64DDE" w14:textId="77777777" w:rsidR="009B6FD7" w:rsidRPr="00F30BA3" w:rsidRDefault="009B6FD7" w:rsidP="00561A93">
            <w:pPr>
              <w:pStyle w:val="Infotext"/>
              <w:jc w:val="both"/>
              <w:rPr>
                <w:rFonts w:cs="Arial"/>
                <w:sz w:val="24"/>
                <w:szCs w:val="24"/>
              </w:rPr>
            </w:pPr>
          </w:p>
        </w:tc>
        <w:tc>
          <w:tcPr>
            <w:tcW w:w="5054" w:type="dxa"/>
            <w:tcBorders>
              <w:top w:val="single" w:sz="18" w:space="0" w:color="auto"/>
            </w:tcBorders>
          </w:tcPr>
          <w:p w14:paraId="3575FC37" w14:textId="31E78E84" w:rsidR="009B6FD7" w:rsidRPr="00F30BA3" w:rsidRDefault="0073158A" w:rsidP="00561A93">
            <w:pPr>
              <w:pStyle w:val="Infotext"/>
              <w:jc w:val="both"/>
              <w:rPr>
                <w:rFonts w:cs="Arial"/>
                <w:sz w:val="24"/>
                <w:szCs w:val="24"/>
              </w:rPr>
            </w:pPr>
            <w:r>
              <w:rPr>
                <w:rFonts w:cs="Arial"/>
                <w:sz w:val="24"/>
                <w:szCs w:val="24"/>
              </w:rPr>
              <w:t xml:space="preserve">25 January 2024 </w:t>
            </w:r>
          </w:p>
        </w:tc>
      </w:tr>
      <w:tr w:rsidR="009B6FD7" w:rsidRPr="00F30BA3" w14:paraId="577E5DC8" w14:textId="77777777" w:rsidTr="11726AE4">
        <w:tc>
          <w:tcPr>
            <w:tcW w:w="3456" w:type="dxa"/>
          </w:tcPr>
          <w:p w14:paraId="2A08B6D2" w14:textId="77777777" w:rsidR="009B6FD7" w:rsidRPr="00F30BA3" w:rsidRDefault="009B6FD7" w:rsidP="00561A93">
            <w:pPr>
              <w:pStyle w:val="Infotext"/>
              <w:jc w:val="both"/>
              <w:rPr>
                <w:rFonts w:cs="Arial"/>
                <w:sz w:val="24"/>
                <w:szCs w:val="24"/>
              </w:rPr>
            </w:pPr>
            <w:r w:rsidRPr="00F30BA3">
              <w:rPr>
                <w:rFonts w:cs="Arial"/>
                <w:sz w:val="24"/>
                <w:szCs w:val="24"/>
              </w:rPr>
              <w:t>Subject:</w:t>
            </w:r>
          </w:p>
          <w:p w14:paraId="2B5A4F3C" w14:textId="77777777" w:rsidR="009B6FD7" w:rsidRPr="00F30BA3" w:rsidRDefault="009B6FD7" w:rsidP="00561A93">
            <w:pPr>
              <w:pStyle w:val="Infotext"/>
              <w:jc w:val="both"/>
              <w:rPr>
                <w:rFonts w:cs="Arial"/>
                <w:sz w:val="24"/>
                <w:szCs w:val="24"/>
              </w:rPr>
            </w:pPr>
          </w:p>
        </w:tc>
        <w:tc>
          <w:tcPr>
            <w:tcW w:w="5054" w:type="dxa"/>
          </w:tcPr>
          <w:p w14:paraId="0987E0E1" w14:textId="57E1454C" w:rsidR="009B6FD7" w:rsidRDefault="36415A93" w:rsidP="00561A93">
            <w:pPr>
              <w:pStyle w:val="Infotext"/>
              <w:jc w:val="both"/>
              <w:rPr>
                <w:rFonts w:cs="Arial"/>
                <w:sz w:val="24"/>
                <w:szCs w:val="24"/>
              </w:rPr>
            </w:pPr>
            <w:r w:rsidRPr="00F30BA3">
              <w:rPr>
                <w:rFonts w:cs="Arial"/>
                <w:sz w:val="24"/>
                <w:szCs w:val="24"/>
              </w:rPr>
              <w:t xml:space="preserve">Health and Wellbeing strategy Update: </w:t>
            </w:r>
            <w:r w:rsidR="0073158A">
              <w:rPr>
                <w:rFonts w:cs="Arial"/>
                <w:sz w:val="24"/>
                <w:szCs w:val="24"/>
              </w:rPr>
              <w:t xml:space="preserve">Healthy People – start well </w:t>
            </w:r>
          </w:p>
          <w:p w14:paraId="429E8C6F" w14:textId="3D6FEA9A" w:rsidR="00943725" w:rsidRPr="00F30BA3" w:rsidRDefault="00943725" w:rsidP="00561A93">
            <w:pPr>
              <w:pStyle w:val="Infotext"/>
              <w:jc w:val="both"/>
              <w:rPr>
                <w:rFonts w:cs="Arial"/>
                <w:sz w:val="24"/>
                <w:szCs w:val="24"/>
              </w:rPr>
            </w:pPr>
          </w:p>
        </w:tc>
      </w:tr>
      <w:tr w:rsidR="009B6FD7" w:rsidRPr="00F30BA3" w14:paraId="729405DE" w14:textId="77777777" w:rsidTr="11726AE4">
        <w:tc>
          <w:tcPr>
            <w:tcW w:w="3456" w:type="dxa"/>
          </w:tcPr>
          <w:p w14:paraId="25E0AB3B" w14:textId="77777777" w:rsidR="009B6FD7" w:rsidRPr="00F30BA3" w:rsidRDefault="009B6FD7" w:rsidP="00561A93">
            <w:pPr>
              <w:pStyle w:val="Infotext"/>
              <w:jc w:val="both"/>
              <w:rPr>
                <w:rFonts w:cs="Arial"/>
                <w:sz w:val="24"/>
                <w:szCs w:val="24"/>
              </w:rPr>
            </w:pPr>
            <w:r w:rsidRPr="00F30BA3">
              <w:rPr>
                <w:rFonts w:cs="Arial"/>
                <w:sz w:val="24"/>
                <w:szCs w:val="24"/>
              </w:rPr>
              <w:t>Responsible Officer:</w:t>
            </w:r>
          </w:p>
          <w:p w14:paraId="3715CDA7" w14:textId="77777777" w:rsidR="009B6FD7" w:rsidRPr="00F30BA3" w:rsidRDefault="009B6FD7" w:rsidP="00561A93">
            <w:pPr>
              <w:pStyle w:val="Infotext"/>
              <w:jc w:val="both"/>
              <w:rPr>
                <w:rFonts w:cs="Arial"/>
                <w:sz w:val="24"/>
                <w:szCs w:val="24"/>
              </w:rPr>
            </w:pPr>
          </w:p>
        </w:tc>
        <w:tc>
          <w:tcPr>
            <w:tcW w:w="5054" w:type="dxa"/>
          </w:tcPr>
          <w:p w14:paraId="70247D60" w14:textId="53788B91" w:rsidR="1A13FCFD" w:rsidRPr="00F30BA3" w:rsidRDefault="1A13FCFD" w:rsidP="00561A93">
            <w:pPr>
              <w:pStyle w:val="Infotext"/>
              <w:spacing w:line="259" w:lineRule="auto"/>
              <w:jc w:val="both"/>
              <w:rPr>
                <w:rFonts w:cs="Arial"/>
                <w:sz w:val="24"/>
                <w:szCs w:val="24"/>
              </w:rPr>
            </w:pPr>
            <w:r w:rsidRPr="11726AE4">
              <w:rPr>
                <w:rFonts w:cs="Arial"/>
                <w:sz w:val="24"/>
                <w:szCs w:val="24"/>
              </w:rPr>
              <w:t>Carole Furlong Director of Public Healt</w:t>
            </w:r>
            <w:r w:rsidR="6DADB3CF" w:rsidRPr="11726AE4">
              <w:rPr>
                <w:rFonts w:cs="Arial"/>
                <w:sz w:val="24"/>
                <w:szCs w:val="24"/>
              </w:rPr>
              <w:t>h</w:t>
            </w:r>
          </w:p>
          <w:p w14:paraId="5F5247A9" w14:textId="77777777" w:rsidR="009B6FD7" w:rsidRPr="00F30BA3" w:rsidRDefault="009B6FD7" w:rsidP="0073158A">
            <w:pPr>
              <w:pStyle w:val="Infotext"/>
              <w:spacing w:line="259" w:lineRule="auto"/>
              <w:jc w:val="both"/>
              <w:rPr>
                <w:rFonts w:cs="Arial"/>
                <w:sz w:val="24"/>
                <w:szCs w:val="24"/>
              </w:rPr>
            </w:pPr>
          </w:p>
        </w:tc>
      </w:tr>
      <w:tr w:rsidR="009B6FD7" w:rsidRPr="00F30BA3" w14:paraId="0820659A" w14:textId="77777777" w:rsidTr="11726AE4">
        <w:tc>
          <w:tcPr>
            <w:tcW w:w="3456" w:type="dxa"/>
          </w:tcPr>
          <w:p w14:paraId="33B20FEF" w14:textId="77777777" w:rsidR="009B6FD7" w:rsidRPr="00F30BA3" w:rsidRDefault="009B6FD7" w:rsidP="00561A93">
            <w:pPr>
              <w:pStyle w:val="Infotext"/>
              <w:jc w:val="both"/>
              <w:rPr>
                <w:rFonts w:cs="Arial"/>
                <w:sz w:val="24"/>
                <w:szCs w:val="24"/>
              </w:rPr>
            </w:pPr>
            <w:r w:rsidRPr="00F30BA3">
              <w:rPr>
                <w:rFonts w:cs="Arial"/>
                <w:sz w:val="24"/>
                <w:szCs w:val="24"/>
              </w:rPr>
              <w:t>Public:</w:t>
            </w:r>
          </w:p>
          <w:p w14:paraId="511A0815" w14:textId="77777777" w:rsidR="009B6FD7" w:rsidRPr="00F30BA3" w:rsidRDefault="009B6FD7" w:rsidP="00561A93">
            <w:pPr>
              <w:pStyle w:val="Infotext"/>
              <w:jc w:val="both"/>
              <w:rPr>
                <w:rFonts w:cs="Arial"/>
                <w:sz w:val="24"/>
                <w:szCs w:val="24"/>
              </w:rPr>
            </w:pPr>
          </w:p>
        </w:tc>
        <w:tc>
          <w:tcPr>
            <w:tcW w:w="5054" w:type="dxa"/>
          </w:tcPr>
          <w:p w14:paraId="2FDB38D7" w14:textId="50B0D378" w:rsidR="009B6FD7" w:rsidRPr="00F30BA3" w:rsidRDefault="009B6FD7" w:rsidP="00561A93">
            <w:pPr>
              <w:pStyle w:val="Infotext"/>
              <w:jc w:val="both"/>
              <w:rPr>
                <w:rFonts w:cs="Arial"/>
                <w:sz w:val="24"/>
                <w:szCs w:val="24"/>
              </w:rPr>
            </w:pPr>
            <w:r w:rsidRPr="00F30BA3">
              <w:rPr>
                <w:rFonts w:cs="Arial"/>
                <w:sz w:val="24"/>
                <w:szCs w:val="24"/>
              </w:rPr>
              <w:t xml:space="preserve">Yes </w:t>
            </w:r>
          </w:p>
        </w:tc>
      </w:tr>
      <w:tr w:rsidR="009B6FD7" w:rsidRPr="00F30BA3" w14:paraId="3E825936" w14:textId="77777777" w:rsidTr="11726AE4">
        <w:tc>
          <w:tcPr>
            <w:tcW w:w="3456" w:type="dxa"/>
          </w:tcPr>
          <w:p w14:paraId="6F196838" w14:textId="3DF94B70" w:rsidR="009B6FD7" w:rsidRPr="00F30BA3" w:rsidRDefault="009B6FD7" w:rsidP="00561A93">
            <w:pPr>
              <w:pStyle w:val="Infotext"/>
              <w:jc w:val="both"/>
              <w:rPr>
                <w:rFonts w:cs="Arial"/>
                <w:sz w:val="24"/>
                <w:szCs w:val="24"/>
              </w:rPr>
            </w:pPr>
            <w:r w:rsidRPr="00F30BA3">
              <w:rPr>
                <w:rFonts w:cs="Arial"/>
                <w:sz w:val="24"/>
                <w:szCs w:val="24"/>
              </w:rPr>
              <w:t>Wards affected:</w:t>
            </w:r>
          </w:p>
        </w:tc>
        <w:tc>
          <w:tcPr>
            <w:tcW w:w="5054" w:type="dxa"/>
          </w:tcPr>
          <w:p w14:paraId="343A6004" w14:textId="02C2D965" w:rsidR="009B6FD7" w:rsidRPr="00F30BA3" w:rsidRDefault="25BCBD84" w:rsidP="00561A93">
            <w:pPr>
              <w:pStyle w:val="Infotext"/>
              <w:spacing w:line="259" w:lineRule="auto"/>
              <w:jc w:val="both"/>
              <w:rPr>
                <w:rFonts w:cs="Arial"/>
                <w:sz w:val="24"/>
                <w:szCs w:val="24"/>
              </w:rPr>
            </w:pPr>
            <w:r w:rsidRPr="00F30BA3">
              <w:rPr>
                <w:rFonts w:cs="Arial"/>
                <w:sz w:val="24"/>
                <w:szCs w:val="24"/>
              </w:rPr>
              <w:t>All</w:t>
            </w:r>
          </w:p>
        </w:tc>
      </w:tr>
      <w:tr w:rsidR="009B6FD7" w:rsidRPr="00F30BA3" w14:paraId="2F9866C6" w14:textId="77777777" w:rsidTr="11726AE4">
        <w:tc>
          <w:tcPr>
            <w:tcW w:w="3456" w:type="dxa"/>
          </w:tcPr>
          <w:p w14:paraId="29A54BB4" w14:textId="77777777" w:rsidR="009B6FD7" w:rsidRPr="00F30BA3" w:rsidRDefault="009B6FD7" w:rsidP="00561A93">
            <w:pPr>
              <w:pStyle w:val="Infotext"/>
              <w:jc w:val="both"/>
              <w:rPr>
                <w:rFonts w:cs="Arial"/>
                <w:sz w:val="24"/>
                <w:szCs w:val="24"/>
              </w:rPr>
            </w:pPr>
          </w:p>
          <w:p w14:paraId="4555FF1F" w14:textId="77777777" w:rsidR="009B6FD7" w:rsidRPr="00F30BA3" w:rsidRDefault="009B6FD7" w:rsidP="00561A93">
            <w:pPr>
              <w:pStyle w:val="Infotext"/>
              <w:jc w:val="both"/>
              <w:rPr>
                <w:rFonts w:cs="Arial"/>
                <w:sz w:val="24"/>
                <w:szCs w:val="24"/>
              </w:rPr>
            </w:pPr>
            <w:r w:rsidRPr="00F30BA3">
              <w:rPr>
                <w:rFonts w:cs="Arial"/>
                <w:sz w:val="24"/>
                <w:szCs w:val="24"/>
              </w:rPr>
              <w:t>Enclosures:</w:t>
            </w:r>
          </w:p>
          <w:p w14:paraId="0F293416" w14:textId="77777777" w:rsidR="009B6FD7" w:rsidRPr="00F30BA3" w:rsidRDefault="009B6FD7" w:rsidP="00561A93">
            <w:pPr>
              <w:pStyle w:val="Infotext"/>
              <w:jc w:val="both"/>
              <w:rPr>
                <w:rFonts w:cs="Arial"/>
                <w:sz w:val="24"/>
                <w:szCs w:val="24"/>
              </w:rPr>
            </w:pPr>
          </w:p>
        </w:tc>
        <w:tc>
          <w:tcPr>
            <w:tcW w:w="5054" w:type="dxa"/>
          </w:tcPr>
          <w:p w14:paraId="3ABFF214" w14:textId="77777777" w:rsidR="009B6FD7" w:rsidRPr="00F30BA3" w:rsidRDefault="009B6FD7" w:rsidP="00561A93">
            <w:pPr>
              <w:pStyle w:val="Infotext"/>
              <w:jc w:val="both"/>
              <w:rPr>
                <w:rFonts w:cs="Arial"/>
                <w:sz w:val="24"/>
                <w:szCs w:val="24"/>
              </w:rPr>
            </w:pPr>
          </w:p>
          <w:p w14:paraId="70B6CB0B" w14:textId="4406697C" w:rsidR="009B6FD7" w:rsidRPr="00F30BA3" w:rsidRDefault="00943725" w:rsidP="00561A93">
            <w:pPr>
              <w:pStyle w:val="Infotext"/>
              <w:jc w:val="both"/>
              <w:rPr>
                <w:rFonts w:cs="Arial"/>
                <w:sz w:val="24"/>
                <w:szCs w:val="24"/>
              </w:rPr>
            </w:pPr>
            <w:r>
              <w:rPr>
                <w:rFonts w:cs="Arial"/>
                <w:sz w:val="24"/>
                <w:szCs w:val="24"/>
              </w:rPr>
              <w:t>Presentation</w:t>
            </w:r>
          </w:p>
        </w:tc>
      </w:tr>
    </w:tbl>
    <w:p w14:paraId="04AB847D" w14:textId="77777777" w:rsidR="009B6FD7" w:rsidRPr="00F30BA3" w:rsidRDefault="009B6FD7" w:rsidP="00561A93">
      <w:pPr>
        <w:spacing w:after="48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976BF" w:rsidRPr="00F30BA3" w14:paraId="6582A1DA" w14:textId="77777777">
        <w:trPr>
          <w:tblHeader/>
        </w:trPr>
        <w:tc>
          <w:tcPr>
            <w:tcW w:w="8525" w:type="dxa"/>
            <w:tcBorders>
              <w:top w:val="nil"/>
              <w:left w:val="nil"/>
              <w:bottom w:val="single" w:sz="4" w:space="0" w:color="auto"/>
              <w:right w:val="nil"/>
            </w:tcBorders>
          </w:tcPr>
          <w:p w14:paraId="4306589F" w14:textId="77777777" w:rsidR="001976BF" w:rsidRPr="00F30BA3" w:rsidRDefault="001976BF" w:rsidP="00373461">
            <w:pPr>
              <w:pStyle w:val="Heading1"/>
            </w:pPr>
            <w:r w:rsidRPr="00F30BA3">
              <w:t>Section 1 – Summary and Recommendations</w:t>
            </w:r>
          </w:p>
        </w:tc>
      </w:tr>
      <w:tr w:rsidR="001976BF" w:rsidRPr="00F30BA3" w14:paraId="7319AC6E" w14:textId="77777777">
        <w:trPr>
          <w:tblHeader/>
        </w:trPr>
        <w:tc>
          <w:tcPr>
            <w:tcW w:w="8525" w:type="dxa"/>
            <w:tcBorders>
              <w:left w:val="nil"/>
              <w:bottom w:val="nil"/>
              <w:right w:val="nil"/>
            </w:tcBorders>
          </w:tcPr>
          <w:p w14:paraId="5F881D15" w14:textId="75B883E6" w:rsidR="001976BF" w:rsidRPr="00561A93" w:rsidRDefault="001976BF" w:rsidP="00561A93">
            <w:pPr>
              <w:jc w:val="both"/>
              <w:rPr>
                <w:rFonts w:cs="Arial"/>
                <w:szCs w:val="24"/>
              </w:rPr>
            </w:pPr>
            <w:r w:rsidRPr="00561A93">
              <w:rPr>
                <w:rFonts w:cs="Arial"/>
                <w:szCs w:val="24"/>
              </w:rPr>
              <w:t>This report sets out</w:t>
            </w:r>
            <w:r w:rsidR="00561A93" w:rsidRPr="00561A93">
              <w:rPr>
                <w:rFonts w:cs="Arial"/>
                <w:szCs w:val="24"/>
              </w:rPr>
              <w:t xml:space="preserve"> the</w:t>
            </w:r>
            <w:r w:rsidR="00561A93">
              <w:rPr>
                <w:rFonts w:cs="Arial"/>
                <w:szCs w:val="24"/>
              </w:rPr>
              <w:t xml:space="preserve"> work and commitments being taken forward as part of the</w:t>
            </w:r>
            <w:r w:rsidR="00561A93" w:rsidRPr="00561A93">
              <w:rPr>
                <w:rFonts w:cs="Arial"/>
                <w:szCs w:val="24"/>
              </w:rPr>
              <w:t xml:space="preserve"> health</w:t>
            </w:r>
            <w:r w:rsidR="00561A93">
              <w:rPr>
                <w:rFonts w:cs="Arial"/>
                <w:szCs w:val="24"/>
              </w:rPr>
              <w:t xml:space="preserve">y </w:t>
            </w:r>
            <w:r w:rsidR="00C91384">
              <w:rPr>
                <w:rFonts w:cs="Arial"/>
                <w:szCs w:val="24"/>
              </w:rPr>
              <w:t>people</w:t>
            </w:r>
            <w:r w:rsidR="00561A93">
              <w:rPr>
                <w:rFonts w:cs="Arial"/>
                <w:szCs w:val="24"/>
              </w:rPr>
              <w:t xml:space="preserve"> domain of the health and wellbeing </w:t>
            </w:r>
            <w:r w:rsidR="007C3C7F">
              <w:rPr>
                <w:rFonts w:cs="Arial"/>
                <w:szCs w:val="24"/>
              </w:rPr>
              <w:t xml:space="preserve">strategy, with a particular focus on children and young people &amp; starting well in life. </w:t>
            </w:r>
          </w:p>
          <w:p w14:paraId="03D09642" w14:textId="77777777" w:rsidR="001976BF" w:rsidRPr="00F30BA3" w:rsidRDefault="001976BF" w:rsidP="00561A93">
            <w:pPr>
              <w:jc w:val="both"/>
              <w:rPr>
                <w:rFonts w:cs="Arial"/>
                <w:b/>
                <w:szCs w:val="24"/>
              </w:rPr>
            </w:pPr>
          </w:p>
          <w:p w14:paraId="74211D77" w14:textId="77777777" w:rsidR="001976BF" w:rsidRPr="00F30BA3" w:rsidRDefault="001976BF" w:rsidP="00561A93">
            <w:pPr>
              <w:jc w:val="both"/>
              <w:rPr>
                <w:rFonts w:cs="Arial"/>
                <w:b/>
                <w:szCs w:val="24"/>
              </w:rPr>
            </w:pPr>
            <w:r w:rsidRPr="00F30BA3">
              <w:rPr>
                <w:rFonts w:cs="Arial"/>
                <w:b/>
                <w:szCs w:val="24"/>
              </w:rPr>
              <w:t xml:space="preserve">Recommendations: </w:t>
            </w:r>
          </w:p>
          <w:p w14:paraId="357466FA" w14:textId="77777777" w:rsidR="001976BF" w:rsidRPr="00F30BA3" w:rsidRDefault="001976BF" w:rsidP="00561A93">
            <w:pPr>
              <w:jc w:val="both"/>
              <w:rPr>
                <w:rFonts w:cs="Arial"/>
                <w:szCs w:val="24"/>
              </w:rPr>
            </w:pPr>
            <w:r w:rsidRPr="00F30BA3">
              <w:rPr>
                <w:rFonts w:cs="Arial"/>
                <w:szCs w:val="24"/>
              </w:rPr>
              <w:t>The Board is requested to:</w:t>
            </w:r>
          </w:p>
          <w:p w14:paraId="473DD72A" w14:textId="360A91B3" w:rsidR="00003122" w:rsidRPr="00003122" w:rsidRDefault="00003122" w:rsidP="00003122">
            <w:pPr>
              <w:pStyle w:val="ListParagraph"/>
              <w:numPr>
                <w:ilvl w:val="0"/>
                <w:numId w:val="27"/>
              </w:numPr>
              <w:jc w:val="both"/>
              <w:rPr>
                <w:rFonts w:cs="Arial"/>
                <w:szCs w:val="24"/>
              </w:rPr>
            </w:pPr>
            <w:r w:rsidRPr="00003122">
              <w:rPr>
                <w:rFonts w:cs="Arial"/>
                <w:szCs w:val="24"/>
              </w:rPr>
              <w:t>Note the work that has been completed to date to support the delivery of more integrated services for children, young people and families</w:t>
            </w:r>
            <w:r w:rsidR="00F663ED">
              <w:rPr>
                <w:rFonts w:cs="Arial"/>
                <w:szCs w:val="24"/>
              </w:rPr>
              <w:t xml:space="preserve"> in Harrow</w:t>
            </w:r>
            <w:r w:rsidR="008E05E5">
              <w:rPr>
                <w:rFonts w:cs="Arial"/>
                <w:szCs w:val="24"/>
              </w:rPr>
              <w:t xml:space="preserve">, </w:t>
            </w:r>
            <w:r w:rsidR="002C5F62">
              <w:rPr>
                <w:rFonts w:cs="Arial"/>
                <w:szCs w:val="24"/>
              </w:rPr>
              <w:t>in addition to</w:t>
            </w:r>
            <w:r w:rsidR="00F663ED">
              <w:rPr>
                <w:rFonts w:cs="Arial"/>
                <w:szCs w:val="24"/>
              </w:rPr>
              <w:t xml:space="preserve"> promoting and supporting</w:t>
            </w:r>
            <w:r w:rsidR="002C5F62">
              <w:rPr>
                <w:rFonts w:cs="Arial"/>
                <w:szCs w:val="24"/>
              </w:rPr>
              <w:t xml:space="preserve"> healthy early years and school settings</w:t>
            </w:r>
            <w:r w:rsidR="0017635F">
              <w:rPr>
                <w:rFonts w:cs="Arial"/>
                <w:szCs w:val="24"/>
              </w:rPr>
              <w:t xml:space="preserve"> in the borough</w:t>
            </w:r>
            <w:r w:rsidR="002C5F62">
              <w:rPr>
                <w:rFonts w:cs="Arial"/>
                <w:szCs w:val="24"/>
              </w:rPr>
              <w:t xml:space="preserve">; </w:t>
            </w:r>
            <w:r w:rsidR="0017635F">
              <w:rPr>
                <w:rFonts w:cs="Arial"/>
                <w:szCs w:val="24"/>
              </w:rPr>
              <w:t>enabling</w:t>
            </w:r>
            <w:r w:rsidRPr="00003122">
              <w:rPr>
                <w:rFonts w:cs="Arial"/>
                <w:szCs w:val="24"/>
              </w:rPr>
              <w:t xml:space="preserve"> the delivery of the Start Well elements of the Health and Wellbeing Strategy.</w:t>
            </w:r>
          </w:p>
          <w:p w14:paraId="7A4DAF07" w14:textId="0988FA0C" w:rsidR="00003122" w:rsidRDefault="00003122" w:rsidP="00CB1EB2">
            <w:pPr>
              <w:pStyle w:val="ListParagraph"/>
              <w:numPr>
                <w:ilvl w:val="0"/>
                <w:numId w:val="27"/>
              </w:numPr>
              <w:jc w:val="both"/>
              <w:rPr>
                <w:rFonts w:cs="Arial"/>
                <w:szCs w:val="24"/>
              </w:rPr>
            </w:pPr>
            <w:r w:rsidRPr="00003122">
              <w:rPr>
                <w:rFonts w:cs="Arial"/>
                <w:szCs w:val="24"/>
              </w:rPr>
              <w:t xml:space="preserve">Endorse the integrated </w:t>
            </w:r>
            <w:r w:rsidR="00CB1EB2">
              <w:rPr>
                <w:rFonts w:cs="Arial"/>
                <w:szCs w:val="24"/>
              </w:rPr>
              <w:t xml:space="preserve">CYP </w:t>
            </w:r>
            <w:r w:rsidRPr="00003122">
              <w:rPr>
                <w:rFonts w:cs="Arial"/>
                <w:szCs w:val="24"/>
              </w:rPr>
              <w:t>model</w:t>
            </w:r>
            <w:r w:rsidR="00CB1EB2">
              <w:rPr>
                <w:rFonts w:cs="Arial"/>
                <w:szCs w:val="24"/>
              </w:rPr>
              <w:t xml:space="preserve"> and </w:t>
            </w:r>
            <w:r w:rsidRPr="00CB1EB2">
              <w:rPr>
                <w:rFonts w:cs="Arial"/>
                <w:szCs w:val="24"/>
              </w:rPr>
              <w:t>roadmap to implementation.</w:t>
            </w:r>
          </w:p>
          <w:p w14:paraId="3E5EC036" w14:textId="77777777" w:rsidR="00914740" w:rsidRPr="00914740" w:rsidRDefault="00914740" w:rsidP="00914740">
            <w:pPr>
              <w:jc w:val="both"/>
              <w:rPr>
                <w:rFonts w:cs="Arial"/>
                <w:szCs w:val="24"/>
              </w:rPr>
            </w:pPr>
          </w:p>
          <w:p w14:paraId="559FB61D" w14:textId="77777777" w:rsidR="00561A93" w:rsidRDefault="00561A93" w:rsidP="00561A93">
            <w:pPr>
              <w:jc w:val="both"/>
              <w:rPr>
                <w:rFonts w:cs="Arial"/>
                <w:szCs w:val="24"/>
              </w:rPr>
            </w:pPr>
          </w:p>
          <w:p w14:paraId="0606AAC7" w14:textId="640D2A1D" w:rsidR="00EF28CA" w:rsidRDefault="00EF28CA" w:rsidP="00EF28CA">
            <w:pPr>
              <w:jc w:val="both"/>
              <w:rPr>
                <w:rFonts w:cs="Arial"/>
                <w:szCs w:val="24"/>
              </w:rPr>
            </w:pPr>
          </w:p>
          <w:p w14:paraId="1EE6E175" w14:textId="77777777" w:rsidR="00EF28CA" w:rsidRDefault="00EF28CA" w:rsidP="00EF28CA">
            <w:pPr>
              <w:jc w:val="both"/>
              <w:rPr>
                <w:rFonts w:cs="Arial"/>
                <w:szCs w:val="24"/>
              </w:rPr>
            </w:pPr>
          </w:p>
          <w:p w14:paraId="45A2530A" w14:textId="77777777" w:rsidR="00EF28CA" w:rsidRDefault="00EF28CA" w:rsidP="00EF28CA">
            <w:pPr>
              <w:jc w:val="both"/>
              <w:rPr>
                <w:rFonts w:cs="Arial"/>
                <w:szCs w:val="24"/>
              </w:rPr>
            </w:pPr>
          </w:p>
          <w:p w14:paraId="7ED5AFB0" w14:textId="77777777" w:rsidR="00EF28CA" w:rsidRDefault="00EF28CA" w:rsidP="00EF28CA">
            <w:pPr>
              <w:jc w:val="both"/>
              <w:rPr>
                <w:rFonts w:cs="Arial"/>
                <w:szCs w:val="24"/>
              </w:rPr>
            </w:pPr>
          </w:p>
          <w:p w14:paraId="4D9F4B54" w14:textId="7F587035" w:rsidR="00EF28CA" w:rsidRPr="00F30BA3" w:rsidRDefault="00EF28CA" w:rsidP="00EF28CA">
            <w:pPr>
              <w:jc w:val="both"/>
              <w:rPr>
                <w:rFonts w:cs="Arial"/>
                <w:szCs w:val="24"/>
              </w:rPr>
            </w:pPr>
          </w:p>
        </w:tc>
      </w:tr>
    </w:tbl>
    <w:p w14:paraId="6FEBAF5E" w14:textId="77777777" w:rsidR="00561A93" w:rsidRDefault="00561A93" w:rsidP="00561A93">
      <w:pPr>
        <w:pStyle w:val="Heading2"/>
        <w:jc w:val="both"/>
        <w:rPr>
          <w:rFonts w:ascii="Arial" w:hAnsi="Arial"/>
          <w:sz w:val="24"/>
          <w:szCs w:val="24"/>
        </w:rPr>
      </w:pPr>
    </w:p>
    <w:p w14:paraId="6907A3CA" w14:textId="77777777" w:rsidR="00561A93" w:rsidRDefault="00561A93" w:rsidP="00561A93">
      <w:pPr>
        <w:pStyle w:val="Heading2"/>
        <w:jc w:val="both"/>
        <w:rPr>
          <w:rFonts w:ascii="Arial" w:hAnsi="Arial"/>
          <w:sz w:val="24"/>
          <w:szCs w:val="24"/>
        </w:rPr>
      </w:pPr>
    </w:p>
    <w:p w14:paraId="14A654BF" w14:textId="1B35A333" w:rsidR="00561A93" w:rsidRPr="00561A93" w:rsidRDefault="009B6FD7" w:rsidP="00373461">
      <w:pPr>
        <w:pStyle w:val="Heading1"/>
      </w:pPr>
      <w:r w:rsidRPr="00561A93">
        <w:t>Section 2 – Report</w:t>
      </w:r>
    </w:p>
    <w:p w14:paraId="706A43B2" w14:textId="4463F440" w:rsidR="00E5039D" w:rsidRDefault="3A6E37CF" w:rsidP="00561A93">
      <w:pPr>
        <w:spacing w:before="160"/>
        <w:jc w:val="both"/>
        <w:rPr>
          <w:rFonts w:cs="Arial"/>
          <w:szCs w:val="24"/>
        </w:rPr>
      </w:pPr>
      <w:r w:rsidRPr="00F30BA3">
        <w:rPr>
          <w:rFonts w:cs="Arial"/>
          <w:szCs w:val="24"/>
        </w:rPr>
        <w:t>This update of the health and wellbeing strategy</w:t>
      </w:r>
      <w:r w:rsidR="70367299" w:rsidRPr="00F30BA3">
        <w:rPr>
          <w:rFonts w:cs="Arial"/>
          <w:szCs w:val="24"/>
        </w:rPr>
        <w:t xml:space="preserve"> </w:t>
      </w:r>
      <w:r w:rsidR="37992835" w:rsidRPr="00F30BA3">
        <w:rPr>
          <w:rFonts w:cs="Arial"/>
          <w:szCs w:val="24"/>
        </w:rPr>
        <w:t xml:space="preserve">will cover </w:t>
      </w:r>
      <w:r w:rsidR="00C6123A">
        <w:rPr>
          <w:rFonts w:cs="Arial"/>
          <w:szCs w:val="24"/>
        </w:rPr>
        <w:t xml:space="preserve">aspects </w:t>
      </w:r>
      <w:r w:rsidR="37992835" w:rsidRPr="00F30BA3">
        <w:rPr>
          <w:rFonts w:cs="Arial"/>
          <w:szCs w:val="24"/>
        </w:rPr>
        <w:t xml:space="preserve">of the healthy places </w:t>
      </w:r>
      <w:r w:rsidR="00C6123A">
        <w:rPr>
          <w:rFonts w:cs="Arial"/>
          <w:szCs w:val="24"/>
        </w:rPr>
        <w:t>domain</w:t>
      </w:r>
      <w:r w:rsidR="37992835" w:rsidRPr="00F30BA3">
        <w:rPr>
          <w:rFonts w:cs="Arial"/>
          <w:szCs w:val="24"/>
        </w:rPr>
        <w:t xml:space="preserve"> of the strategy</w:t>
      </w:r>
      <w:r w:rsidRPr="00F30BA3">
        <w:rPr>
          <w:rFonts w:cs="Arial"/>
          <w:szCs w:val="24"/>
        </w:rPr>
        <w:t xml:space="preserve">.  At this meeting, there will be a </w:t>
      </w:r>
      <w:r w:rsidR="2B6F5D25" w:rsidRPr="00F30BA3">
        <w:rPr>
          <w:rFonts w:cs="Arial"/>
          <w:szCs w:val="24"/>
        </w:rPr>
        <w:t xml:space="preserve">presentation of the </w:t>
      </w:r>
      <w:r w:rsidR="004969E1">
        <w:rPr>
          <w:rFonts w:cs="Arial"/>
          <w:szCs w:val="24"/>
        </w:rPr>
        <w:t xml:space="preserve">community safety strategy and </w:t>
      </w:r>
      <w:r w:rsidR="00E5039D">
        <w:rPr>
          <w:rFonts w:cs="Arial"/>
          <w:szCs w:val="24"/>
        </w:rPr>
        <w:t xml:space="preserve">an update on housing including: </w:t>
      </w:r>
      <w:r w:rsidR="00E5039D" w:rsidRPr="00C95717">
        <w:rPr>
          <w:rFonts w:cs="Arial"/>
          <w:szCs w:val="24"/>
        </w:rPr>
        <w:t>homelessness, damp and mould, increasing the quality of existing council homes, and new affordable homes, with reference to partnership working.</w:t>
      </w:r>
    </w:p>
    <w:p w14:paraId="65A373A4" w14:textId="37B3F76E" w:rsidR="3A6E37CF" w:rsidRPr="00F30BA3" w:rsidRDefault="4F88E532" w:rsidP="00561A93">
      <w:pPr>
        <w:spacing w:before="160"/>
        <w:jc w:val="both"/>
        <w:rPr>
          <w:rFonts w:cs="Arial"/>
          <w:szCs w:val="24"/>
        </w:rPr>
      </w:pPr>
      <w:r w:rsidRPr="00F30BA3">
        <w:rPr>
          <w:rFonts w:cs="Arial"/>
          <w:szCs w:val="24"/>
        </w:rPr>
        <w:t>They are being presented to the health and wellbeing board because each has an impact on the health and wellbeing of residents and those working and visiting the borough.</w:t>
      </w:r>
      <w:r w:rsidR="008D076D" w:rsidRPr="00F30BA3">
        <w:rPr>
          <w:rFonts w:cs="Arial"/>
          <w:szCs w:val="24"/>
        </w:rPr>
        <w:t xml:space="preserve"> </w:t>
      </w:r>
    </w:p>
    <w:p w14:paraId="26D35981" w14:textId="02B4BDCB" w:rsidR="00A71E9F" w:rsidRDefault="00EE3010" w:rsidP="00561A93">
      <w:pPr>
        <w:spacing w:line="259" w:lineRule="auto"/>
        <w:jc w:val="both"/>
        <w:rPr>
          <w:rFonts w:cs="Arial"/>
          <w:b/>
          <w:bCs/>
          <w:sz w:val="28"/>
          <w:szCs w:val="28"/>
        </w:rPr>
      </w:pPr>
      <w:r>
        <w:rPr>
          <w:rFonts w:cs="Arial"/>
          <w:szCs w:val="24"/>
        </w:rPr>
        <w:t xml:space="preserve"> </w:t>
      </w:r>
    </w:p>
    <w:p w14:paraId="1FBBB3B0" w14:textId="08BF1D4A" w:rsidR="00E52E60" w:rsidRDefault="00A71E9F" w:rsidP="00E52E60">
      <w:pPr>
        <w:spacing w:line="259" w:lineRule="auto"/>
        <w:jc w:val="both"/>
        <w:rPr>
          <w:rFonts w:cs="Arial"/>
          <w:b/>
          <w:bCs/>
          <w:sz w:val="28"/>
          <w:szCs w:val="28"/>
        </w:rPr>
      </w:pPr>
      <w:r>
        <w:rPr>
          <w:rFonts w:cs="Arial"/>
          <w:b/>
          <w:bCs/>
          <w:sz w:val="28"/>
          <w:szCs w:val="28"/>
        </w:rPr>
        <w:t xml:space="preserve">CYP integration and family hubs </w:t>
      </w:r>
    </w:p>
    <w:p w14:paraId="620388F6" w14:textId="77777777" w:rsidR="00E52E60" w:rsidRPr="00E52E60" w:rsidRDefault="00E52E60" w:rsidP="00E52E60">
      <w:pPr>
        <w:spacing w:line="259" w:lineRule="auto"/>
        <w:jc w:val="both"/>
        <w:rPr>
          <w:rFonts w:cs="Arial"/>
          <w:b/>
          <w:bCs/>
          <w:sz w:val="28"/>
          <w:szCs w:val="28"/>
        </w:rPr>
      </w:pPr>
    </w:p>
    <w:p w14:paraId="3FECEA0F" w14:textId="79113076" w:rsidR="00E52E60" w:rsidRPr="00E52E60" w:rsidRDefault="00E52E60" w:rsidP="00E52E60">
      <w:pPr>
        <w:spacing w:before="160"/>
        <w:jc w:val="both"/>
        <w:rPr>
          <w:rFonts w:cs="Arial"/>
          <w:szCs w:val="24"/>
        </w:rPr>
      </w:pPr>
      <w:r w:rsidRPr="00E52E60">
        <w:rPr>
          <w:rFonts w:cs="Arial"/>
          <w:szCs w:val="24"/>
        </w:rPr>
        <w:t>There has been recognition locally that although there are many excellent service offers for children, young people and families in Harrow, these are often not joined up to provide the most effective care to families.</w:t>
      </w:r>
    </w:p>
    <w:p w14:paraId="5B2CCD48" w14:textId="77777777" w:rsidR="00E52E60" w:rsidRPr="00E52E60" w:rsidRDefault="00E52E60" w:rsidP="00E52E60">
      <w:pPr>
        <w:spacing w:before="160"/>
        <w:jc w:val="both"/>
        <w:rPr>
          <w:rFonts w:cs="Arial"/>
          <w:szCs w:val="24"/>
        </w:rPr>
      </w:pPr>
      <w:r w:rsidRPr="00E52E60">
        <w:rPr>
          <w:rFonts w:cs="Arial"/>
          <w:szCs w:val="24"/>
        </w:rPr>
        <w:t>Following the Covid Pandemic and with the growing cost of living crisis, existing areas of concern in children and young people (CYP) services seem to have been exacerbated, and inequalities in the delivery of those services have potentially deepened.</w:t>
      </w:r>
    </w:p>
    <w:p w14:paraId="11BAB1BA" w14:textId="77777777" w:rsidR="00E52E60" w:rsidRPr="00E52E60" w:rsidRDefault="00E52E60" w:rsidP="00E52E60">
      <w:pPr>
        <w:spacing w:before="160"/>
        <w:jc w:val="both"/>
        <w:rPr>
          <w:rFonts w:cs="Arial"/>
          <w:szCs w:val="24"/>
        </w:rPr>
      </w:pPr>
      <w:r w:rsidRPr="00E52E60">
        <w:rPr>
          <w:rFonts w:cs="Arial"/>
          <w:szCs w:val="24"/>
        </w:rPr>
        <w:t>For families to receive the best help, services need to be joined up and integrated in their approaches. There is a strong case for supporting families during the early years of a child’s life (conception to age 5) as this is a critical period that determines the lifelong effects of physical, cognitive, social and emotional, and behavioural development. The right support for families during this time can fundamentally change lives. At present, family members often have to tell their stories again and again, do not know where to go to get help, and are often not met with the right support at the right time. Family members need to know who to turn to when they need help, and trusted relationships sit at the heart of this. We also know that we need to adapt our services to reach our underserved populations.</w:t>
      </w:r>
    </w:p>
    <w:p w14:paraId="4CF448A3" w14:textId="77777777" w:rsidR="00E52E60" w:rsidRPr="00E52E60" w:rsidRDefault="00E52E60" w:rsidP="00E52E60">
      <w:pPr>
        <w:spacing w:before="160"/>
        <w:jc w:val="both"/>
        <w:rPr>
          <w:rFonts w:cs="Arial"/>
          <w:szCs w:val="24"/>
        </w:rPr>
      </w:pPr>
      <w:r w:rsidRPr="00E52E60">
        <w:rPr>
          <w:rFonts w:cs="Arial"/>
          <w:szCs w:val="24"/>
        </w:rPr>
        <w:t>Our frontline practitioners need to understand the system that they work in and who to contact when they want to intervene proactively to support a family member. They need to be able to share information easily so that they can work seamlessly with other professionals and the families under their care. They also need to feel supported and empowered to work collaboratively across the system, and make decisions that enable them to offer the best care they can.</w:t>
      </w:r>
    </w:p>
    <w:p w14:paraId="52936743" w14:textId="77777777" w:rsidR="00E52E60" w:rsidRPr="00E52E60" w:rsidRDefault="00E52E60" w:rsidP="00E52E60">
      <w:pPr>
        <w:spacing w:before="160"/>
        <w:jc w:val="both"/>
        <w:rPr>
          <w:rFonts w:cs="Arial"/>
          <w:szCs w:val="24"/>
        </w:rPr>
      </w:pPr>
      <w:r w:rsidRPr="00E52E60">
        <w:rPr>
          <w:rFonts w:cs="Arial"/>
          <w:szCs w:val="24"/>
        </w:rPr>
        <w:t>With the financial pressures currently being felt by the system, the urgent need to tackle health inequalities, and the growth in the demand for many of our services, we need to make better use of our current resources and develop offers that are sustainable and adaptable.</w:t>
      </w:r>
    </w:p>
    <w:p w14:paraId="596B103C" w14:textId="77777777" w:rsidR="00E52E60" w:rsidRPr="00E52E60" w:rsidRDefault="00E52E60" w:rsidP="00E52E60">
      <w:pPr>
        <w:spacing w:before="160"/>
        <w:jc w:val="both"/>
        <w:rPr>
          <w:rFonts w:cs="Arial"/>
          <w:szCs w:val="24"/>
        </w:rPr>
      </w:pPr>
      <w:r w:rsidRPr="00E52E60">
        <w:rPr>
          <w:rFonts w:cs="Arial"/>
          <w:szCs w:val="24"/>
        </w:rPr>
        <w:t xml:space="preserve">In response, the borough-based partnership in Harrow set out a mission to support better care and healthier lives for CYP and families, by transforming and integrating CYP services, and taking a family-centred approach to doing </w:t>
      </w:r>
      <w:r w:rsidRPr="00E52E60">
        <w:rPr>
          <w:rFonts w:cs="Arial"/>
          <w:szCs w:val="24"/>
        </w:rPr>
        <w:lastRenderedPageBreak/>
        <w:t>so. Our engagement and co-production work has helped us to determine four key programmes of work that will help deliver our ambition, namely:</w:t>
      </w:r>
    </w:p>
    <w:p w14:paraId="7B5AC1DC" w14:textId="77777777" w:rsidR="00E52E60" w:rsidRPr="00E52E60" w:rsidRDefault="00E52E60" w:rsidP="00E52E60">
      <w:pPr>
        <w:spacing w:before="160"/>
        <w:jc w:val="both"/>
        <w:rPr>
          <w:rFonts w:cs="Arial"/>
          <w:szCs w:val="24"/>
        </w:rPr>
      </w:pPr>
      <w:r w:rsidRPr="00E52E60">
        <w:rPr>
          <w:rFonts w:cs="Arial"/>
          <w:szCs w:val="24"/>
        </w:rPr>
        <w:t>1.</w:t>
      </w:r>
      <w:r w:rsidRPr="00E52E60">
        <w:rPr>
          <w:rFonts w:cs="Arial"/>
          <w:szCs w:val="24"/>
        </w:rPr>
        <w:tab/>
        <w:t>Early Help for the Under 5s in the central integrated neighbourhood.</w:t>
      </w:r>
    </w:p>
    <w:p w14:paraId="63CBFC9F" w14:textId="77777777" w:rsidR="00E52E60" w:rsidRPr="00E52E60" w:rsidRDefault="00E52E60" w:rsidP="00E52E60">
      <w:pPr>
        <w:spacing w:before="160"/>
        <w:jc w:val="both"/>
        <w:rPr>
          <w:rFonts w:cs="Arial"/>
          <w:szCs w:val="24"/>
        </w:rPr>
      </w:pPr>
      <w:r w:rsidRPr="00E52E60">
        <w:rPr>
          <w:rFonts w:cs="Arial"/>
          <w:szCs w:val="24"/>
        </w:rPr>
        <w:t>2.</w:t>
      </w:r>
      <w:r w:rsidRPr="00E52E60">
        <w:rPr>
          <w:rFonts w:cs="Arial"/>
          <w:szCs w:val="24"/>
        </w:rPr>
        <w:tab/>
        <w:t xml:space="preserve">Family Hub Networks. </w:t>
      </w:r>
    </w:p>
    <w:p w14:paraId="23A74897" w14:textId="0CEACE1F" w:rsidR="00E52E60" w:rsidRPr="00E52E60" w:rsidRDefault="00E52E60" w:rsidP="00E52E60">
      <w:pPr>
        <w:spacing w:before="160"/>
        <w:jc w:val="both"/>
        <w:rPr>
          <w:rFonts w:cs="Arial"/>
          <w:szCs w:val="24"/>
        </w:rPr>
      </w:pPr>
      <w:r w:rsidRPr="00E52E60">
        <w:rPr>
          <w:rFonts w:cs="Arial"/>
          <w:szCs w:val="24"/>
        </w:rPr>
        <w:t>3.</w:t>
      </w:r>
      <w:r w:rsidRPr="00E52E60">
        <w:rPr>
          <w:rFonts w:cs="Arial"/>
          <w:szCs w:val="24"/>
        </w:rPr>
        <w:tab/>
        <w:t xml:space="preserve">Harrow Family Front Door. </w:t>
      </w:r>
    </w:p>
    <w:p w14:paraId="639880C0" w14:textId="77777777" w:rsidR="00E52E60" w:rsidRPr="00E52E60" w:rsidRDefault="00E52E60" w:rsidP="00E52E60">
      <w:pPr>
        <w:spacing w:before="160"/>
        <w:jc w:val="both"/>
        <w:rPr>
          <w:rFonts w:cs="Arial"/>
          <w:szCs w:val="24"/>
        </w:rPr>
      </w:pPr>
      <w:r w:rsidRPr="00E52E60">
        <w:rPr>
          <w:rFonts w:cs="Arial"/>
          <w:szCs w:val="24"/>
        </w:rPr>
        <w:t>4.</w:t>
      </w:r>
      <w:r w:rsidRPr="00E52E60">
        <w:rPr>
          <w:rFonts w:cs="Arial"/>
          <w:szCs w:val="24"/>
        </w:rPr>
        <w:tab/>
        <w:t xml:space="preserve">Team Around the Family (“TAF”) and Lead Professional Model. </w:t>
      </w:r>
    </w:p>
    <w:p w14:paraId="6C9032EB" w14:textId="77777777" w:rsidR="00E52E60" w:rsidRPr="00E52E60" w:rsidRDefault="00E52E60" w:rsidP="00E52E60">
      <w:pPr>
        <w:spacing w:before="160"/>
        <w:jc w:val="both"/>
        <w:rPr>
          <w:rFonts w:cs="Arial"/>
          <w:szCs w:val="24"/>
        </w:rPr>
      </w:pPr>
    </w:p>
    <w:p w14:paraId="3963A131" w14:textId="72FE5429" w:rsidR="00561A93" w:rsidRPr="00E52E60" w:rsidRDefault="00E52E60" w:rsidP="00E52E60">
      <w:pPr>
        <w:spacing w:before="160"/>
        <w:jc w:val="both"/>
        <w:rPr>
          <w:rFonts w:cs="Arial"/>
          <w:szCs w:val="24"/>
        </w:rPr>
      </w:pPr>
      <w:r w:rsidRPr="00E52E60">
        <w:rPr>
          <w:rFonts w:cs="Arial"/>
          <w:szCs w:val="24"/>
        </w:rPr>
        <w:t>These programmes of work are in progress and we are seeking investment from Harrow’s health and care partners to establish three TAF coordinator roles, a digital tool for the Family Front Door and a communications campaign.</w:t>
      </w:r>
    </w:p>
    <w:p w14:paraId="795F6FD8" w14:textId="77777777" w:rsidR="008E06C6" w:rsidRDefault="008E06C6" w:rsidP="00561A93">
      <w:pPr>
        <w:spacing w:line="259" w:lineRule="auto"/>
        <w:jc w:val="both"/>
        <w:rPr>
          <w:rFonts w:cs="Arial"/>
          <w:b/>
          <w:bCs/>
          <w:szCs w:val="24"/>
        </w:rPr>
      </w:pPr>
    </w:p>
    <w:p w14:paraId="455D88ED" w14:textId="77777777" w:rsidR="008E06C6" w:rsidRPr="00E5039D" w:rsidRDefault="008E06C6" w:rsidP="00561A93">
      <w:pPr>
        <w:spacing w:line="259" w:lineRule="auto"/>
        <w:jc w:val="both"/>
        <w:rPr>
          <w:rFonts w:cs="Arial"/>
          <w:b/>
          <w:bCs/>
          <w:sz w:val="28"/>
          <w:szCs w:val="28"/>
        </w:rPr>
      </w:pPr>
    </w:p>
    <w:p w14:paraId="62D13828" w14:textId="50EC75A3" w:rsidR="00DC62B5" w:rsidRPr="00E5039D" w:rsidRDefault="00A71E9F" w:rsidP="00561A93">
      <w:pPr>
        <w:spacing w:line="259" w:lineRule="auto"/>
        <w:jc w:val="both"/>
        <w:rPr>
          <w:rFonts w:cs="Arial"/>
          <w:b/>
          <w:bCs/>
          <w:sz w:val="28"/>
          <w:szCs w:val="28"/>
        </w:rPr>
      </w:pPr>
      <w:r>
        <w:rPr>
          <w:rFonts w:cs="Arial"/>
          <w:b/>
          <w:bCs/>
          <w:sz w:val="28"/>
          <w:szCs w:val="28"/>
        </w:rPr>
        <w:t xml:space="preserve">Healthy Early Years London &amp; Health Schools London </w:t>
      </w:r>
    </w:p>
    <w:p w14:paraId="32C75C1F" w14:textId="2525DAC5" w:rsidR="00561A93" w:rsidRDefault="00561A93" w:rsidP="00561A93">
      <w:pPr>
        <w:jc w:val="both"/>
        <w:rPr>
          <w:rFonts w:cs="Arial"/>
          <w:szCs w:val="24"/>
        </w:rPr>
      </w:pPr>
    </w:p>
    <w:p w14:paraId="737F1F05" w14:textId="77777777" w:rsidR="00D930EB" w:rsidRDefault="00D930EB" w:rsidP="00D930EB">
      <w:pPr>
        <w:jc w:val="both"/>
        <w:rPr>
          <w:rFonts w:ascii="Calibri" w:hAnsi="Calibri"/>
          <w:sz w:val="22"/>
        </w:rPr>
      </w:pPr>
      <w:r>
        <w:t xml:space="preserve">Healthy Schools London (HSL) and Healthy Early Years London (HEYL) are award schemes sponsored by the Mayor of London, which recognise and celebrate schools/settings that are making a difference to children and young people’s health. It underpins public health’s health and wellbeing strategy ‘start well’.  HSL is school focussed and HEYL is tailored for early years and children under 5. Evidence shows that embedding good behaviours and practices from an early age stays with the child into adulthood.  </w:t>
      </w:r>
    </w:p>
    <w:p w14:paraId="6ED5EA24" w14:textId="77777777" w:rsidR="00D930EB" w:rsidRDefault="00D930EB" w:rsidP="00D930EB">
      <w:pPr>
        <w:jc w:val="both"/>
      </w:pPr>
    </w:p>
    <w:p w14:paraId="1F845380" w14:textId="77777777" w:rsidR="00D930EB" w:rsidRDefault="00D930EB" w:rsidP="00D930EB">
      <w:pPr>
        <w:jc w:val="both"/>
      </w:pPr>
      <w:r>
        <w:t xml:space="preserve">HSL is an evidence-based “whole school approach” to improve the health and wellbeing of children and young people. The aim of HSL is to encourage schools to improve their health-promoting environments, reduce health inequalities, improve educational achievement and supports; pupils, staff and the wider community to develop health and wellbeing behaviours. The programme seeks to help schools develop their health and wellbeing policies and procedures and recognise and reward health promoting activities through accreditation. </w:t>
      </w:r>
    </w:p>
    <w:p w14:paraId="3284290C" w14:textId="77777777" w:rsidR="00D930EB" w:rsidRDefault="00D930EB" w:rsidP="00D930EB">
      <w:pPr>
        <w:jc w:val="both"/>
      </w:pPr>
    </w:p>
    <w:p w14:paraId="13277925" w14:textId="4C55535D" w:rsidR="00D930EB" w:rsidRDefault="00D930EB" w:rsidP="00D930EB">
      <w:pPr>
        <w:jc w:val="both"/>
      </w:pPr>
      <w:r>
        <w:t>The evidence</w:t>
      </w:r>
      <w:r w:rsidR="00C2345A">
        <w:t>-</w:t>
      </w:r>
      <w:r>
        <w:t xml:space="preserve">base for improving health within school settings is clear and supports a multitude of cross governmental strategies and statutory guidance. It supports local education providers to optimise health outcomes; contributing to the success of our own local health and education strategies and provides demonstratable evidence toward achieving Ofsted goals. Taking part in Healthy Schools will enable schools in Harrow to directly support the health and wellbeing of their pupils and staff and work toward reducing inequality within their communities and reflect the </w:t>
      </w:r>
      <w:r w:rsidR="00FE16DE">
        <w:t>‘</w:t>
      </w:r>
      <w:r w:rsidR="00C2345A">
        <w:t>start well</w:t>
      </w:r>
      <w:r w:rsidR="00FE16DE">
        <w:t>’</w:t>
      </w:r>
      <w:r>
        <w:t xml:space="preserve"> in the Health and Wellbeing Strategy.</w:t>
      </w:r>
    </w:p>
    <w:p w14:paraId="6C5F345D" w14:textId="77777777" w:rsidR="00D930EB" w:rsidRDefault="00D930EB" w:rsidP="00D930EB">
      <w:pPr>
        <w:jc w:val="both"/>
      </w:pPr>
    </w:p>
    <w:p w14:paraId="1B68CF45" w14:textId="1053FB9D" w:rsidR="00D930EB" w:rsidRDefault="00D930EB" w:rsidP="00D930EB">
      <w:pPr>
        <w:jc w:val="both"/>
      </w:pPr>
      <w:r>
        <w:t xml:space="preserve">Public health has a built </w:t>
      </w:r>
      <w:r w:rsidR="00FE16DE">
        <w:t>an excellent</w:t>
      </w:r>
      <w:r>
        <w:t xml:space="preserve"> </w:t>
      </w:r>
      <w:r w:rsidR="004E3B15">
        <w:t>partnership</w:t>
      </w:r>
      <w:r>
        <w:t xml:space="preserve"> with schools/settings</w:t>
      </w:r>
      <w:r w:rsidR="00FE16DE">
        <w:t xml:space="preserve"> over the last 5 years</w:t>
      </w:r>
      <w:r>
        <w:t>. The Fit4Life group was set up comprising key stakeholders, including schools, to look at the progress of the awards and responds to the HAY Harrow findings. This partnership</w:t>
      </w:r>
      <w:r w:rsidR="004E3B15">
        <w:t xml:space="preserve"> and collaborative working</w:t>
      </w:r>
      <w:r>
        <w:t xml:space="preserve"> has not only promoted core health improvement messages but has developed real tangible actions.  Each school and early years provider is given a HSL and HEYL pack which outlines what is required to participate in the award. </w:t>
      </w:r>
    </w:p>
    <w:p w14:paraId="1EE44ABB" w14:textId="77777777" w:rsidR="00D930EB" w:rsidRDefault="00D930EB" w:rsidP="00D930EB">
      <w:pPr>
        <w:jc w:val="both"/>
      </w:pPr>
    </w:p>
    <w:p w14:paraId="3713B868" w14:textId="77777777" w:rsidR="00D930EB" w:rsidRDefault="00D930EB" w:rsidP="00D930EB">
      <w:pPr>
        <w:jc w:val="both"/>
      </w:pPr>
      <w:r>
        <w:lastRenderedPageBreak/>
        <w:t xml:space="preserve">The HSL and HEYL awards are not just about achieving a certificate. They take a whole school/setting approach to improving health and wellbeing for children and young people. They make schools/settings think about what food and snacks they provide, how they encourage physical activity and reduce obesity, how they help to improve children’s mental health, etc. </w:t>
      </w:r>
    </w:p>
    <w:p w14:paraId="0A964AC5" w14:textId="77777777" w:rsidR="00D930EB" w:rsidRDefault="00D930EB" w:rsidP="00D930EB">
      <w:pPr>
        <w:jc w:val="both"/>
      </w:pPr>
    </w:p>
    <w:p w14:paraId="42BF2B01" w14:textId="77777777" w:rsidR="00D930EB" w:rsidRDefault="00D930EB" w:rsidP="00D930EB">
      <w:pPr>
        <w:jc w:val="both"/>
        <w:rPr>
          <w:b/>
          <w:bCs/>
        </w:rPr>
      </w:pPr>
      <w:r>
        <w:rPr>
          <w:b/>
          <w:bCs/>
        </w:rPr>
        <w:t>Healthy Schools London awards to date:</w:t>
      </w:r>
      <w:r>
        <w:t xml:space="preserve"> </w:t>
      </w:r>
    </w:p>
    <w:p w14:paraId="3AE18B1F" w14:textId="77777777" w:rsidR="00D930EB" w:rsidRDefault="00D930EB" w:rsidP="00D930EB">
      <w:pPr>
        <w:pStyle w:val="ListParagraph"/>
        <w:numPr>
          <w:ilvl w:val="0"/>
          <w:numId w:val="31"/>
        </w:numPr>
        <w:jc w:val="both"/>
      </w:pPr>
      <w:r>
        <w:t>41 Bronze</w:t>
      </w:r>
    </w:p>
    <w:p w14:paraId="79A30238" w14:textId="77777777" w:rsidR="00D930EB" w:rsidRDefault="00D930EB" w:rsidP="00D930EB">
      <w:pPr>
        <w:pStyle w:val="ListParagraph"/>
        <w:numPr>
          <w:ilvl w:val="0"/>
          <w:numId w:val="31"/>
        </w:numPr>
        <w:jc w:val="both"/>
      </w:pPr>
      <w:r>
        <w:t>34 Silver</w:t>
      </w:r>
    </w:p>
    <w:p w14:paraId="7D991600" w14:textId="77777777" w:rsidR="00D930EB" w:rsidRDefault="00D930EB" w:rsidP="00D930EB">
      <w:pPr>
        <w:pStyle w:val="ListParagraph"/>
        <w:numPr>
          <w:ilvl w:val="0"/>
          <w:numId w:val="31"/>
        </w:numPr>
        <w:jc w:val="both"/>
      </w:pPr>
      <w:r>
        <w:t xml:space="preserve">21 Gold </w:t>
      </w:r>
    </w:p>
    <w:p w14:paraId="74EE0159" w14:textId="77777777" w:rsidR="00D930EB" w:rsidRDefault="00D930EB" w:rsidP="00D930EB">
      <w:pPr>
        <w:jc w:val="both"/>
        <w:rPr>
          <w:rFonts w:eastAsiaTheme="minorHAnsi"/>
        </w:rPr>
      </w:pPr>
    </w:p>
    <w:p w14:paraId="69B69D34" w14:textId="77777777" w:rsidR="00D930EB" w:rsidRDefault="00D930EB" w:rsidP="00D930EB">
      <w:pPr>
        <w:jc w:val="both"/>
        <w:rPr>
          <w:b/>
          <w:bCs/>
        </w:rPr>
      </w:pPr>
      <w:r>
        <w:rPr>
          <w:b/>
          <w:bCs/>
        </w:rPr>
        <w:t>Healthy Early Years London awards to date:</w:t>
      </w:r>
    </w:p>
    <w:p w14:paraId="1DB9C70F" w14:textId="77777777" w:rsidR="00D930EB" w:rsidRDefault="00D930EB" w:rsidP="00D930EB">
      <w:pPr>
        <w:pStyle w:val="ListParagraph"/>
        <w:numPr>
          <w:ilvl w:val="0"/>
          <w:numId w:val="32"/>
        </w:numPr>
        <w:jc w:val="both"/>
        <w:rPr>
          <w:b/>
          <w:bCs/>
        </w:rPr>
      </w:pPr>
      <w:r>
        <w:t>21 Bronze</w:t>
      </w:r>
    </w:p>
    <w:p w14:paraId="7B1644E4" w14:textId="77777777" w:rsidR="00D930EB" w:rsidRDefault="00D930EB" w:rsidP="00D930EB">
      <w:pPr>
        <w:pStyle w:val="ListParagraph"/>
        <w:numPr>
          <w:ilvl w:val="0"/>
          <w:numId w:val="32"/>
        </w:numPr>
        <w:jc w:val="both"/>
        <w:rPr>
          <w:b/>
          <w:bCs/>
        </w:rPr>
      </w:pPr>
      <w:r>
        <w:t>11 Silver</w:t>
      </w:r>
    </w:p>
    <w:p w14:paraId="205DD2BF" w14:textId="77777777" w:rsidR="00D930EB" w:rsidRDefault="00D930EB" w:rsidP="00D930EB">
      <w:pPr>
        <w:pStyle w:val="ListParagraph"/>
        <w:numPr>
          <w:ilvl w:val="0"/>
          <w:numId w:val="32"/>
        </w:numPr>
        <w:jc w:val="both"/>
        <w:rPr>
          <w:b/>
          <w:bCs/>
        </w:rPr>
      </w:pPr>
      <w:r>
        <w:t>8 Gold</w:t>
      </w:r>
    </w:p>
    <w:p w14:paraId="4A6A9CDD" w14:textId="77777777" w:rsidR="00D930EB" w:rsidRDefault="00D930EB" w:rsidP="00D930EB">
      <w:pPr>
        <w:jc w:val="both"/>
        <w:rPr>
          <w:rFonts w:eastAsiaTheme="minorHAnsi"/>
        </w:rPr>
      </w:pPr>
    </w:p>
    <w:p w14:paraId="77109BF4" w14:textId="77777777" w:rsidR="00D930EB" w:rsidRDefault="00D930EB" w:rsidP="00D930EB">
      <w:pPr>
        <w:jc w:val="both"/>
      </w:pPr>
      <w:r>
        <w:t xml:space="preserve">Harrow are the second highest scoring borough for achieving HEYL Gold awards across London. </w:t>
      </w:r>
    </w:p>
    <w:p w14:paraId="533BDF64" w14:textId="77777777" w:rsidR="00D930EB" w:rsidRDefault="00D930EB" w:rsidP="00D930EB">
      <w:pPr>
        <w:jc w:val="both"/>
      </w:pPr>
    </w:p>
    <w:p w14:paraId="3AF5F3FE" w14:textId="77777777" w:rsidR="00D930EB" w:rsidRDefault="00D930EB" w:rsidP="00D930EB">
      <w:pPr>
        <w:jc w:val="both"/>
      </w:pPr>
      <w:r>
        <w:t xml:space="preserve">Link to main site for HSL: </w:t>
      </w:r>
      <w:hyperlink r:id="rId9" w:history="1">
        <w:r>
          <w:rPr>
            <w:rStyle w:val="Hyperlink"/>
          </w:rPr>
          <w:t>https://www.london.gov.uk/what-we-do/health/healthy-schools-london/awards/home</w:t>
        </w:r>
      </w:hyperlink>
    </w:p>
    <w:p w14:paraId="089E29FF" w14:textId="77777777" w:rsidR="00D930EB" w:rsidRDefault="00D930EB" w:rsidP="00D930EB">
      <w:pPr>
        <w:jc w:val="both"/>
      </w:pPr>
      <w:r>
        <w:t xml:space="preserve">Link to HEYL site : </w:t>
      </w:r>
      <w:hyperlink r:id="rId10" w:history="1">
        <w:r>
          <w:rPr>
            <w:rStyle w:val="Hyperlink"/>
          </w:rPr>
          <w:t>https://www.london.gov.uk/programmes-strategies/health-and-wellbeing/healthy-early-years-london</w:t>
        </w:r>
      </w:hyperlink>
      <w:r>
        <w:t xml:space="preserve"> </w:t>
      </w:r>
    </w:p>
    <w:p w14:paraId="36BDE37E" w14:textId="77777777" w:rsidR="00D930EB" w:rsidRDefault="00D930EB" w:rsidP="00D930EB">
      <w:pPr>
        <w:jc w:val="both"/>
      </w:pPr>
    </w:p>
    <w:p w14:paraId="2DCD3A08" w14:textId="77777777" w:rsidR="00D930EB" w:rsidRDefault="00D930EB" w:rsidP="00D930EB">
      <w:pPr>
        <w:jc w:val="both"/>
      </w:pPr>
      <w:r>
        <w:t xml:space="preserve">Both programmes are well embedded but depend on the close collaborative working with colleagues in education and early years teams. In order to be compliant, the awards need to be quality assured. We are in discussions with the teams to ensure ongoing commitment as HSL and HEYL meet both health and education priorities. </w:t>
      </w:r>
    </w:p>
    <w:p w14:paraId="4CB3A41D" w14:textId="77777777" w:rsidR="00E2232C" w:rsidRDefault="00E2232C" w:rsidP="00561A93">
      <w:pPr>
        <w:jc w:val="both"/>
        <w:rPr>
          <w:rFonts w:cs="Arial"/>
          <w:szCs w:val="24"/>
        </w:rPr>
      </w:pPr>
    </w:p>
    <w:p w14:paraId="18DC72AF" w14:textId="77777777" w:rsidR="002A2389" w:rsidRPr="00561A93" w:rsidRDefault="002A2389" w:rsidP="00373461">
      <w:pPr>
        <w:pStyle w:val="Heading1"/>
      </w:pPr>
      <w:r w:rsidRPr="00561A93">
        <w:t>Financial Implications</w:t>
      </w:r>
      <w:r w:rsidR="00BE1C78" w:rsidRPr="00561A93">
        <w:t xml:space="preserve">/Comments </w:t>
      </w:r>
    </w:p>
    <w:p w14:paraId="77406288" w14:textId="77777777" w:rsidR="007C6295" w:rsidRPr="007C6295" w:rsidRDefault="007C6295" w:rsidP="007C6295">
      <w:pPr>
        <w:spacing w:after="240"/>
        <w:jc w:val="both"/>
        <w:rPr>
          <w:rFonts w:cs="Arial"/>
          <w:szCs w:val="24"/>
        </w:rPr>
      </w:pPr>
      <w:r w:rsidRPr="007C6295">
        <w:rPr>
          <w:rFonts w:cs="Arial"/>
          <w:szCs w:val="24"/>
        </w:rPr>
        <w:t xml:space="preserve">There are no direct costs associated with delivering the health and wellbeing strategy. </w:t>
      </w:r>
    </w:p>
    <w:p w14:paraId="60E11B6C" w14:textId="0C7575F1" w:rsidR="00F33381" w:rsidRDefault="003C5A41" w:rsidP="000E3F4A">
      <w:pPr>
        <w:spacing w:after="240"/>
        <w:jc w:val="both"/>
        <w:rPr>
          <w:rFonts w:cs="Arial"/>
          <w:szCs w:val="24"/>
        </w:rPr>
      </w:pPr>
      <w:r>
        <w:rPr>
          <w:rFonts w:cs="Arial"/>
          <w:szCs w:val="24"/>
        </w:rPr>
        <w:t>However, t</w:t>
      </w:r>
      <w:r w:rsidR="00025CCA" w:rsidRPr="00025CCA">
        <w:rPr>
          <w:rFonts w:cs="Arial"/>
          <w:szCs w:val="24"/>
        </w:rPr>
        <w:t>o be able to deliver the full integrated</w:t>
      </w:r>
      <w:r w:rsidR="00342CAC">
        <w:rPr>
          <w:rFonts w:cs="Arial"/>
          <w:szCs w:val="24"/>
        </w:rPr>
        <w:t xml:space="preserve"> CYP</w:t>
      </w:r>
      <w:r w:rsidR="00025CCA" w:rsidRPr="00025CCA">
        <w:rPr>
          <w:rFonts w:cs="Arial"/>
          <w:szCs w:val="24"/>
        </w:rPr>
        <w:t xml:space="preserve"> model</w:t>
      </w:r>
      <w:r w:rsidR="00342CAC">
        <w:rPr>
          <w:rFonts w:cs="Arial"/>
          <w:szCs w:val="24"/>
        </w:rPr>
        <w:t xml:space="preserve">, </w:t>
      </w:r>
      <w:r w:rsidR="005C773C">
        <w:rPr>
          <w:rFonts w:cs="Arial"/>
          <w:szCs w:val="24"/>
        </w:rPr>
        <w:t xml:space="preserve">including family hubs, additional </w:t>
      </w:r>
      <w:r w:rsidR="005C773C" w:rsidRPr="00025CCA">
        <w:rPr>
          <w:rFonts w:cs="Arial"/>
          <w:szCs w:val="24"/>
        </w:rPr>
        <w:t>recurrent and non-recurrent funding</w:t>
      </w:r>
      <w:r w:rsidR="00354EB2">
        <w:rPr>
          <w:rFonts w:cs="Arial"/>
          <w:szCs w:val="24"/>
        </w:rPr>
        <w:t xml:space="preserve"> is required</w:t>
      </w:r>
      <w:r w:rsidR="00BD0576">
        <w:rPr>
          <w:rFonts w:cs="Arial"/>
          <w:szCs w:val="24"/>
        </w:rPr>
        <w:t xml:space="preserve">. </w:t>
      </w:r>
      <w:r w:rsidR="00E26449">
        <w:rPr>
          <w:rFonts w:cs="Arial"/>
          <w:szCs w:val="24"/>
        </w:rPr>
        <w:t>A</w:t>
      </w:r>
      <w:r w:rsidR="00025CCA" w:rsidRPr="003B419C">
        <w:rPr>
          <w:rFonts w:cs="Arial"/>
          <w:szCs w:val="24"/>
        </w:rPr>
        <w:t xml:space="preserve"> business case </w:t>
      </w:r>
      <w:r w:rsidR="00E26449">
        <w:rPr>
          <w:rFonts w:cs="Arial"/>
          <w:szCs w:val="24"/>
        </w:rPr>
        <w:t xml:space="preserve">is being taken </w:t>
      </w:r>
      <w:r w:rsidR="00025CCA" w:rsidRPr="003B419C">
        <w:rPr>
          <w:rFonts w:cs="Arial"/>
          <w:szCs w:val="24"/>
        </w:rPr>
        <w:t>to the next Harrow Joint Management Board</w:t>
      </w:r>
      <w:r w:rsidR="007C1753">
        <w:rPr>
          <w:rFonts w:cs="Arial"/>
          <w:szCs w:val="24"/>
        </w:rPr>
        <w:t xml:space="preserve"> (JMB)</w:t>
      </w:r>
      <w:r w:rsidR="00025CCA" w:rsidRPr="003B419C">
        <w:rPr>
          <w:rFonts w:cs="Arial"/>
          <w:szCs w:val="24"/>
        </w:rPr>
        <w:t xml:space="preserve"> in February</w:t>
      </w:r>
      <w:r w:rsidR="00DC5005">
        <w:rPr>
          <w:rFonts w:cs="Arial"/>
          <w:szCs w:val="24"/>
        </w:rPr>
        <w:t xml:space="preserve">. </w:t>
      </w:r>
      <w:r w:rsidR="007C1753">
        <w:rPr>
          <w:rFonts w:cs="Arial"/>
          <w:szCs w:val="24"/>
        </w:rPr>
        <w:t xml:space="preserve">As a partnership board, </w:t>
      </w:r>
      <w:r w:rsidR="00B425FA">
        <w:rPr>
          <w:rFonts w:cs="Arial"/>
          <w:szCs w:val="24"/>
        </w:rPr>
        <w:t xml:space="preserve">if the business case is approved, </w:t>
      </w:r>
      <w:r w:rsidR="007C1753">
        <w:rPr>
          <w:rFonts w:cs="Arial"/>
          <w:szCs w:val="24"/>
        </w:rPr>
        <w:t xml:space="preserve">JMB will be responsible for agreeing the </w:t>
      </w:r>
      <w:r w:rsidR="00B425FA">
        <w:rPr>
          <w:rFonts w:cs="Arial"/>
          <w:szCs w:val="24"/>
        </w:rPr>
        <w:t>contributions from each of the partners</w:t>
      </w:r>
      <w:r w:rsidR="0046257E">
        <w:rPr>
          <w:rFonts w:cs="Arial"/>
          <w:szCs w:val="24"/>
        </w:rPr>
        <w:t xml:space="preserve">. </w:t>
      </w:r>
      <w:r w:rsidR="00F33381">
        <w:rPr>
          <w:rFonts w:cs="Arial"/>
          <w:szCs w:val="24"/>
        </w:rPr>
        <w:t>The additional</w:t>
      </w:r>
      <w:r w:rsidR="00025CCA" w:rsidRPr="003B419C">
        <w:rPr>
          <w:rFonts w:cs="Arial"/>
          <w:szCs w:val="24"/>
        </w:rPr>
        <w:t xml:space="preserve"> funding </w:t>
      </w:r>
      <w:r w:rsidR="0046257E">
        <w:rPr>
          <w:rFonts w:cs="Arial"/>
          <w:szCs w:val="24"/>
        </w:rPr>
        <w:t>will be funding:</w:t>
      </w:r>
    </w:p>
    <w:p w14:paraId="393D6EA5" w14:textId="5FBE4DC2" w:rsidR="007F7725" w:rsidRPr="00F33381" w:rsidRDefault="00025CCA" w:rsidP="00F33381">
      <w:pPr>
        <w:pStyle w:val="ListParagraph"/>
        <w:numPr>
          <w:ilvl w:val="0"/>
          <w:numId w:val="33"/>
        </w:numPr>
        <w:spacing w:after="240"/>
        <w:jc w:val="both"/>
        <w:rPr>
          <w:rFonts w:cs="Arial"/>
          <w:szCs w:val="24"/>
        </w:rPr>
      </w:pPr>
      <w:r w:rsidRPr="00F33381">
        <w:rPr>
          <w:rFonts w:cs="Arial"/>
          <w:szCs w:val="24"/>
        </w:rPr>
        <w:t>TAF coordinator roles</w:t>
      </w:r>
      <w:r w:rsidR="005D03CC" w:rsidRPr="00F33381">
        <w:rPr>
          <w:rFonts w:cs="Arial"/>
          <w:szCs w:val="24"/>
        </w:rPr>
        <w:t xml:space="preserve"> (£60K per role</w:t>
      </w:r>
      <w:r w:rsidR="003C5A41" w:rsidRPr="00F33381">
        <w:rPr>
          <w:rFonts w:cs="Arial"/>
          <w:szCs w:val="24"/>
        </w:rPr>
        <w:t xml:space="preserve"> – recurrent funding</w:t>
      </w:r>
      <w:r w:rsidR="005D03CC" w:rsidRPr="00F33381">
        <w:rPr>
          <w:rFonts w:cs="Arial"/>
          <w:szCs w:val="24"/>
        </w:rPr>
        <w:t>). Work is currently being undertaken to confirm whether the requirement is for two or three roles</w:t>
      </w:r>
      <w:r w:rsidR="00F33381">
        <w:rPr>
          <w:rFonts w:cs="Arial"/>
          <w:szCs w:val="24"/>
        </w:rPr>
        <w:t xml:space="preserve">. </w:t>
      </w:r>
      <w:r w:rsidR="005D03CC" w:rsidRPr="00F33381">
        <w:rPr>
          <w:rFonts w:cs="Arial"/>
          <w:szCs w:val="24"/>
        </w:rPr>
        <w:t xml:space="preserve">TAF coordinators will coordinate trusted, preventative, multi-agency support for families who have an unmet or emerging need. This can currently not be offered to families due to capacity constraints, which in turn increases the risk of escalations to </w:t>
      </w:r>
      <w:r w:rsidR="00F33381" w:rsidRPr="00F33381">
        <w:rPr>
          <w:rFonts w:cs="Arial"/>
          <w:szCs w:val="24"/>
        </w:rPr>
        <w:t>late-stage</w:t>
      </w:r>
      <w:r w:rsidR="005D03CC" w:rsidRPr="00F33381">
        <w:rPr>
          <w:rFonts w:cs="Arial"/>
          <w:szCs w:val="24"/>
        </w:rPr>
        <w:t xml:space="preserve"> crisis management.</w:t>
      </w:r>
    </w:p>
    <w:p w14:paraId="69639BCF" w14:textId="03F6D8E7" w:rsidR="007F7725" w:rsidRDefault="00025CCA" w:rsidP="007F7725">
      <w:pPr>
        <w:pStyle w:val="ListParagraph"/>
        <w:numPr>
          <w:ilvl w:val="0"/>
          <w:numId w:val="33"/>
        </w:numPr>
        <w:spacing w:after="240"/>
        <w:jc w:val="both"/>
        <w:rPr>
          <w:rFonts w:cs="Arial"/>
          <w:szCs w:val="24"/>
        </w:rPr>
      </w:pPr>
      <w:r w:rsidRPr="007F7725">
        <w:rPr>
          <w:rFonts w:cs="Arial"/>
          <w:szCs w:val="24"/>
        </w:rPr>
        <w:t>branding and comm</w:t>
      </w:r>
      <w:r w:rsidR="00880FD7" w:rsidRPr="007F7725">
        <w:rPr>
          <w:rFonts w:cs="Arial"/>
          <w:szCs w:val="24"/>
        </w:rPr>
        <w:t>unication</w:t>
      </w:r>
      <w:r w:rsidRPr="007F7725">
        <w:rPr>
          <w:rFonts w:cs="Arial"/>
          <w:szCs w:val="24"/>
        </w:rPr>
        <w:t>s for the TAFs and Family Hubs Networks</w:t>
      </w:r>
      <w:r w:rsidR="005D03CC">
        <w:rPr>
          <w:rFonts w:cs="Arial"/>
          <w:szCs w:val="24"/>
        </w:rPr>
        <w:t xml:space="preserve"> (£10K sought</w:t>
      </w:r>
      <w:r w:rsidR="003C5A41">
        <w:rPr>
          <w:rFonts w:cs="Arial"/>
          <w:szCs w:val="24"/>
        </w:rPr>
        <w:t xml:space="preserve"> – </w:t>
      </w:r>
      <w:r w:rsidR="00F33381">
        <w:rPr>
          <w:rFonts w:cs="Arial"/>
          <w:szCs w:val="24"/>
        </w:rPr>
        <w:t>non-recurrent</w:t>
      </w:r>
      <w:r w:rsidR="003C5A41">
        <w:rPr>
          <w:rFonts w:cs="Arial"/>
          <w:szCs w:val="24"/>
        </w:rPr>
        <w:t xml:space="preserve"> funding</w:t>
      </w:r>
      <w:r w:rsidR="005D03CC">
        <w:rPr>
          <w:rFonts w:cs="Arial"/>
          <w:szCs w:val="24"/>
        </w:rPr>
        <w:t>)</w:t>
      </w:r>
      <w:r w:rsidR="005D03CC" w:rsidRPr="005D03CC">
        <w:rPr>
          <w:rFonts w:cs="Arial"/>
          <w:szCs w:val="24"/>
        </w:rPr>
        <w:t xml:space="preserve"> </w:t>
      </w:r>
      <w:r w:rsidR="005D03CC">
        <w:rPr>
          <w:rFonts w:cs="Arial"/>
          <w:szCs w:val="24"/>
        </w:rPr>
        <w:t xml:space="preserve">The launching of the new family </w:t>
      </w:r>
      <w:r w:rsidR="005D03CC">
        <w:rPr>
          <w:rFonts w:cs="Arial"/>
          <w:szCs w:val="24"/>
        </w:rPr>
        <w:lastRenderedPageBreak/>
        <w:t>hub networks will require a rebranding of the current children’s centres and early support sites, as well as a communications campaign to inform wider practitioners and the public about the new networks.</w:t>
      </w:r>
    </w:p>
    <w:p w14:paraId="5C0B8DBA" w14:textId="5DDEAAB5" w:rsidR="007F7725" w:rsidRDefault="0046257E" w:rsidP="007F7725">
      <w:pPr>
        <w:spacing w:after="240"/>
        <w:jc w:val="both"/>
        <w:rPr>
          <w:rFonts w:cs="Arial"/>
          <w:szCs w:val="24"/>
        </w:rPr>
      </w:pPr>
      <w:r>
        <w:rPr>
          <w:rFonts w:cs="Arial"/>
          <w:szCs w:val="24"/>
        </w:rPr>
        <w:t xml:space="preserve">If the business case is not approved, </w:t>
      </w:r>
      <w:r w:rsidR="00D56DCD">
        <w:rPr>
          <w:rFonts w:cs="Arial"/>
          <w:szCs w:val="24"/>
        </w:rPr>
        <w:t xml:space="preserve">the CYP integration programme will not be able to </w:t>
      </w:r>
      <w:r w:rsidR="00913017">
        <w:rPr>
          <w:rFonts w:cs="Arial"/>
          <w:szCs w:val="24"/>
        </w:rPr>
        <w:t xml:space="preserve">deliver the TAF model, and the rebranding of the current children’s centres and </w:t>
      </w:r>
      <w:r w:rsidR="00BE52AC">
        <w:rPr>
          <w:rFonts w:cs="Arial"/>
          <w:szCs w:val="24"/>
        </w:rPr>
        <w:t>early support sites, as well as wider communications to the public, w</w:t>
      </w:r>
      <w:r w:rsidR="00D45130">
        <w:rPr>
          <w:rFonts w:cs="Arial"/>
          <w:szCs w:val="24"/>
        </w:rPr>
        <w:t xml:space="preserve">ould be impacted. </w:t>
      </w:r>
    </w:p>
    <w:p w14:paraId="11B4AA01" w14:textId="77777777" w:rsidR="001417FD" w:rsidRPr="00561A93" w:rsidRDefault="001417FD" w:rsidP="00373461">
      <w:pPr>
        <w:pStyle w:val="Heading1"/>
      </w:pPr>
      <w:r w:rsidRPr="00561A93">
        <w:t xml:space="preserve">Legal Implications/Comments </w:t>
      </w:r>
    </w:p>
    <w:p w14:paraId="12ED299B" w14:textId="311F2888" w:rsidR="00EC5C2E" w:rsidRPr="00F30BA3" w:rsidRDefault="00EC5C2E" w:rsidP="00561A93">
      <w:pPr>
        <w:jc w:val="both"/>
        <w:rPr>
          <w:rFonts w:cs="Arial"/>
          <w:szCs w:val="24"/>
        </w:rPr>
      </w:pPr>
      <w:r w:rsidRPr="00F30BA3">
        <w:rPr>
          <w:rFonts w:cs="Arial"/>
          <w:szCs w:val="24"/>
        </w:rPr>
        <w:t xml:space="preserve">Section 116A of the Local Government and Public Involvement in Health Act 2007, stipulates that it is the responsibility of the local authority and integrated care boards to prepare a local health and wellbeing strategy. </w:t>
      </w:r>
    </w:p>
    <w:p w14:paraId="2F61E24C" w14:textId="77777777" w:rsidR="00EC5C2E" w:rsidRPr="00F30BA3" w:rsidRDefault="00EC5C2E" w:rsidP="00561A93">
      <w:pPr>
        <w:jc w:val="both"/>
        <w:rPr>
          <w:rFonts w:cs="Arial"/>
          <w:szCs w:val="24"/>
        </w:rPr>
      </w:pPr>
    </w:p>
    <w:p w14:paraId="59333FEB" w14:textId="77777777" w:rsidR="00EC5C2E" w:rsidRPr="00F30BA3" w:rsidRDefault="00EC5C2E" w:rsidP="00561A93">
      <w:pPr>
        <w:jc w:val="both"/>
        <w:rPr>
          <w:rFonts w:cs="Arial"/>
          <w:szCs w:val="24"/>
        </w:rPr>
      </w:pPr>
      <w:r w:rsidRPr="00F30BA3">
        <w:rPr>
          <w:rFonts w:cs="Arial"/>
          <w:szCs w:val="24"/>
        </w:rPr>
        <w:t xml:space="preserve">The Health and Social Care Act 2012 provides responsibility to the Health and Wellbeing Board for the oversight of the local health and wellbeing strategy.  </w:t>
      </w:r>
    </w:p>
    <w:p w14:paraId="6AF499B4" w14:textId="77777777" w:rsidR="00E934EA" w:rsidRPr="00E934EA" w:rsidRDefault="00E934EA" w:rsidP="00E934EA">
      <w:pPr>
        <w:jc w:val="both"/>
        <w:rPr>
          <w:rFonts w:cs="Arial"/>
          <w:szCs w:val="24"/>
        </w:rPr>
      </w:pPr>
      <w:r w:rsidRPr="00E934EA">
        <w:rPr>
          <w:rFonts w:cs="Arial"/>
          <w:szCs w:val="24"/>
        </w:rPr>
        <w:t xml:space="preserve">The purpose of the Board is to improve health and wellbeing for the </w:t>
      </w:r>
    </w:p>
    <w:p w14:paraId="44B9914A" w14:textId="77777777" w:rsidR="00E934EA" w:rsidRPr="00E934EA" w:rsidRDefault="00E934EA" w:rsidP="00E934EA">
      <w:pPr>
        <w:jc w:val="both"/>
        <w:rPr>
          <w:rFonts w:cs="Arial"/>
          <w:szCs w:val="24"/>
        </w:rPr>
      </w:pPr>
      <w:r w:rsidRPr="00E934EA">
        <w:rPr>
          <w:rFonts w:cs="Arial"/>
          <w:szCs w:val="24"/>
        </w:rPr>
        <w:t xml:space="preserve">residents of Harrow and reduce inequalities in outcomes. The Board </w:t>
      </w:r>
    </w:p>
    <w:p w14:paraId="1E07AA50" w14:textId="77777777" w:rsidR="00E934EA" w:rsidRPr="00E934EA" w:rsidRDefault="00E934EA" w:rsidP="00E934EA">
      <w:pPr>
        <w:jc w:val="both"/>
        <w:rPr>
          <w:rFonts w:cs="Arial"/>
          <w:szCs w:val="24"/>
        </w:rPr>
      </w:pPr>
      <w:r w:rsidRPr="00E934EA">
        <w:rPr>
          <w:rFonts w:cs="Arial"/>
          <w:szCs w:val="24"/>
        </w:rPr>
        <w:t xml:space="preserve">will hold partner agencies to account for delivering improvements to the </w:t>
      </w:r>
    </w:p>
    <w:p w14:paraId="271D7E27" w14:textId="77777777" w:rsidR="00E934EA" w:rsidRPr="00E934EA" w:rsidRDefault="00E934EA" w:rsidP="00E934EA">
      <w:pPr>
        <w:jc w:val="both"/>
        <w:rPr>
          <w:rFonts w:cs="Arial"/>
          <w:szCs w:val="24"/>
        </w:rPr>
      </w:pPr>
      <w:r w:rsidRPr="00E934EA">
        <w:rPr>
          <w:rFonts w:cs="Arial"/>
          <w:szCs w:val="24"/>
        </w:rPr>
        <w:t xml:space="preserve">provision of health, adult and children’s services social care and </w:t>
      </w:r>
    </w:p>
    <w:p w14:paraId="3533657B" w14:textId="2FEBC37A" w:rsidR="000D7D32" w:rsidRDefault="00E934EA" w:rsidP="00E934EA">
      <w:pPr>
        <w:jc w:val="both"/>
        <w:rPr>
          <w:rFonts w:cs="Arial"/>
          <w:szCs w:val="24"/>
        </w:rPr>
      </w:pPr>
      <w:r w:rsidRPr="00E934EA">
        <w:rPr>
          <w:rFonts w:cs="Arial"/>
          <w:szCs w:val="24"/>
        </w:rPr>
        <w:t>housing services.</w:t>
      </w:r>
      <w:r w:rsidR="0070209F">
        <w:rPr>
          <w:rFonts w:cs="Arial"/>
          <w:szCs w:val="24"/>
        </w:rPr>
        <w:t xml:space="preserve"> </w:t>
      </w:r>
    </w:p>
    <w:p w14:paraId="02B6E396" w14:textId="77777777" w:rsidR="00F33381" w:rsidRDefault="00F33381" w:rsidP="00E934EA">
      <w:pPr>
        <w:jc w:val="both"/>
        <w:rPr>
          <w:rFonts w:cs="Arial"/>
          <w:szCs w:val="24"/>
        </w:rPr>
      </w:pPr>
    </w:p>
    <w:p w14:paraId="6E33091F" w14:textId="66624984" w:rsidR="000D7D32" w:rsidRPr="000D7D32" w:rsidRDefault="000D7D32" w:rsidP="000D7D32">
      <w:pPr>
        <w:jc w:val="both"/>
        <w:rPr>
          <w:rFonts w:cs="Arial"/>
          <w:szCs w:val="24"/>
        </w:rPr>
      </w:pPr>
      <w:r>
        <w:rPr>
          <w:rFonts w:cs="Arial"/>
          <w:szCs w:val="24"/>
        </w:rPr>
        <w:t>A key responsibility is t</w:t>
      </w:r>
      <w:r w:rsidRPr="000D7D32">
        <w:rPr>
          <w:rFonts w:cs="Arial"/>
          <w:szCs w:val="24"/>
        </w:rPr>
        <w:t xml:space="preserve">o consider how to best use the totality of resources available </w:t>
      </w:r>
      <w:r w:rsidR="00A71E79">
        <w:rPr>
          <w:rFonts w:cs="Arial"/>
          <w:szCs w:val="24"/>
        </w:rPr>
        <w:t xml:space="preserve"> </w:t>
      </w:r>
      <w:r w:rsidRPr="000D7D32">
        <w:rPr>
          <w:rFonts w:cs="Arial"/>
          <w:szCs w:val="24"/>
        </w:rPr>
        <w:t xml:space="preserve">for health and wellbeing, subject to the governance processes </w:t>
      </w:r>
    </w:p>
    <w:p w14:paraId="3B3CF1E3" w14:textId="5C030D95" w:rsidR="000D7D32" w:rsidRDefault="000D7D32" w:rsidP="000D7D32">
      <w:pPr>
        <w:jc w:val="both"/>
        <w:rPr>
          <w:rFonts w:cs="Arial"/>
          <w:szCs w:val="24"/>
        </w:rPr>
      </w:pPr>
      <w:r w:rsidRPr="000D7D32">
        <w:rPr>
          <w:rFonts w:cs="Arial"/>
          <w:szCs w:val="24"/>
        </w:rPr>
        <w:t>of the respective partner organisations as appropriat</w:t>
      </w:r>
      <w:r w:rsidR="00A71E79">
        <w:rPr>
          <w:rFonts w:cs="Arial"/>
          <w:szCs w:val="24"/>
        </w:rPr>
        <w:t>e</w:t>
      </w:r>
    </w:p>
    <w:p w14:paraId="1E28110F" w14:textId="090FB91B" w:rsidR="00EC5C2E" w:rsidRPr="00F30BA3" w:rsidRDefault="0070209F" w:rsidP="00E934EA">
      <w:pPr>
        <w:jc w:val="both"/>
        <w:rPr>
          <w:rFonts w:cs="Arial"/>
          <w:szCs w:val="24"/>
        </w:rPr>
      </w:pPr>
      <w:r>
        <w:rPr>
          <w:rFonts w:cs="Arial"/>
          <w:szCs w:val="24"/>
        </w:rPr>
        <w:t xml:space="preserve"> </w:t>
      </w:r>
    </w:p>
    <w:p w14:paraId="5AEA940C" w14:textId="6AAE9E73" w:rsidR="001417FD" w:rsidRPr="00F30BA3" w:rsidRDefault="00EC5C2E" w:rsidP="000256BE">
      <w:pPr>
        <w:jc w:val="both"/>
        <w:rPr>
          <w:rFonts w:cs="Arial"/>
          <w:szCs w:val="24"/>
        </w:rPr>
      </w:pPr>
      <w:r w:rsidRPr="00F30BA3">
        <w:rPr>
          <w:rFonts w:cs="Arial"/>
          <w:szCs w:val="24"/>
        </w:rPr>
        <w:t xml:space="preserve">.  </w:t>
      </w:r>
    </w:p>
    <w:p w14:paraId="743E6639" w14:textId="77777777" w:rsidR="00C32DAE" w:rsidRPr="00561A93" w:rsidRDefault="00C32DAE" w:rsidP="00373461">
      <w:pPr>
        <w:pStyle w:val="Heading1"/>
      </w:pPr>
      <w:r w:rsidRPr="00561A93">
        <w:t>Risk Management Implications</w:t>
      </w:r>
    </w:p>
    <w:p w14:paraId="6DB0D7F4" w14:textId="77777777" w:rsidR="00561A93" w:rsidRDefault="00561A93" w:rsidP="00561A93">
      <w:pPr>
        <w:tabs>
          <w:tab w:val="left" w:pos="5610"/>
        </w:tabs>
        <w:ind w:right="81"/>
        <w:rPr>
          <w:rFonts w:cs="Arial"/>
          <w:szCs w:val="24"/>
          <w:lang w:val="en-US"/>
        </w:rPr>
      </w:pPr>
      <w:r>
        <w:rPr>
          <w:rFonts w:cs="Arial"/>
          <w:szCs w:val="24"/>
          <w:lang w:val="en-US"/>
        </w:rPr>
        <w:t>The health and wellbeing strategy does not present any risks, or suggest any mitigation</w:t>
      </w:r>
    </w:p>
    <w:p w14:paraId="3459A8EC" w14:textId="77777777" w:rsidR="00561A93" w:rsidRDefault="00561A93" w:rsidP="00561A93">
      <w:pPr>
        <w:tabs>
          <w:tab w:val="left" w:pos="5610"/>
        </w:tabs>
        <w:ind w:left="567" w:right="81" w:hanging="567"/>
        <w:rPr>
          <w:rFonts w:cs="Arial"/>
          <w:szCs w:val="24"/>
          <w:lang w:val="en-US"/>
        </w:rPr>
      </w:pPr>
    </w:p>
    <w:p w14:paraId="6EB2342F" w14:textId="77777777" w:rsidR="00561A93" w:rsidRPr="00105B8A" w:rsidRDefault="00561A93" w:rsidP="00561A93">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4588CFBB" w14:textId="77777777" w:rsidR="00561A93" w:rsidRDefault="00561A93" w:rsidP="00561A93">
      <w:pPr>
        <w:ind w:left="-142" w:right="141"/>
        <w:rPr>
          <w:rFonts w:cs="Arial"/>
          <w:szCs w:val="24"/>
          <w:lang w:val="en-US" w:eastAsia="en-GB"/>
        </w:rPr>
      </w:pPr>
      <w:r>
        <w:rPr>
          <w:rFonts w:cs="Arial"/>
          <w:szCs w:val="24"/>
          <w:lang w:val="en-US" w:eastAsia="en-GB"/>
        </w:rPr>
        <w:t xml:space="preserve">  </w:t>
      </w:r>
    </w:p>
    <w:p w14:paraId="2C961F10" w14:textId="77777777" w:rsidR="00561A93" w:rsidRDefault="00561A93" w:rsidP="00561A93">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16327265" w14:textId="77777777" w:rsidR="00561A93" w:rsidRDefault="00561A93" w:rsidP="00561A93">
      <w:pPr>
        <w:tabs>
          <w:tab w:val="left" w:pos="5610"/>
        </w:tabs>
        <w:ind w:left="567" w:right="81" w:hanging="567"/>
      </w:pPr>
    </w:p>
    <w:p w14:paraId="285B4E68" w14:textId="77777777" w:rsidR="00561A93" w:rsidRDefault="00561A93" w:rsidP="00561A93">
      <w:pPr>
        <w:tabs>
          <w:tab w:val="left" w:pos="5610"/>
        </w:tabs>
        <w:ind w:right="81"/>
      </w:pPr>
      <w:r>
        <w:t xml:space="preserve">The relevant risks contained in the register are attached/summarised below. </w:t>
      </w:r>
      <w:r>
        <w:rPr>
          <w:rFonts w:cs="Arial"/>
          <w:b/>
          <w:bCs/>
          <w:szCs w:val="24"/>
          <w:lang w:val="en-US" w:eastAsia="en-GB"/>
        </w:rPr>
        <w:t xml:space="preserve">n/a </w:t>
      </w:r>
    </w:p>
    <w:p w14:paraId="362C737C" w14:textId="77777777" w:rsidR="00615340" w:rsidRPr="00F30BA3" w:rsidRDefault="00615340" w:rsidP="00561A93">
      <w:pPr>
        <w:ind w:left="555" w:right="75" w:hanging="555"/>
        <w:jc w:val="both"/>
        <w:textAlignment w:val="baseline"/>
        <w:rPr>
          <w:rFonts w:cs="Arial"/>
          <w:szCs w:val="24"/>
          <w:lang w:eastAsia="en-GB"/>
        </w:rPr>
      </w:pPr>
      <w:r w:rsidRPr="00F30BA3">
        <w:rPr>
          <w:rFonts w:cs="Arial"/>
          <w:szCs w:val="24"/>
          <w:lang w:eastAsia="en-GB"/>
        </w:rPr>
        <w:t> </w:t>
      </w:r>
    </w:p>
    <w:p w14:paraId="1F7D1585" w14:textId="77777777" w:rsidR="00615340" w:rsidRPr="00F30BA3" w:rsidRDefault="00615340" w:rsidP="00561A93">
      <w:pPr>
        <w:jc w:val="both"/>
        <w:textAlignment w:val="baseline"/>
        <w:rPr>
          <w:rFonts w:cs="Arial"/>
          <w:szCs w:val="24"/>
          <w:lang w:eastAsia="en-GB"/>
        </w:rPr>
      </w:pPr>
      <w:r w:rsidRPr="00F30BA3">
        <w:rPr>
          <w:rFonts w:cs="Arial"/>
          <w:szCs w:val="24"/>
          <w:lang w:eastAsia="en-GB"/>
        </w:rPr>
        <w:t> </w:t>
      </w:r>
    </w:p>
    <w:p w14:paraId="78EC3061" w14:textId="77777777" w:rsidR="00FD31A0" w:rsidRPr="00373461" w:rsidRDefault="00A50388" w:rsidP="00373461">
      <w:pPr>
        <w:pStyle w:val="Heading1"/>
        <w:rPr>
          <w:color w:val="FF0000"/>
        </w:rPr>
      </w:pPr>
      <w:r w:rsidRPr="00373461">
        <w:t>Equalities implications / Public Sector Equality Duty</w:t>
      </w:r>
    </w:p>
    <w:p w14:paraId="40620397" w14:textId="77777777" w:rsidR="00373461" w:rsidRDefault="00373461" w:rsidP="00373461">
      <w:r w:rsidRPr="004A2543">
        <w:t xml:space="preserve">Was an Equality Impact Assessment carried out?  </w:t>
      </w:r>
      <w:r>
        <w:t>No</w:t>
      </w:r>
    </w:p>
    <w:p w14:paraId="1AA44030" w14:textId="77777777" w:rsidR="003241C9" w:rsidRDefault="003241C9" w:rsidP="00373461">
      <w:pPr>
        <w:rPr>
          <w:b/>
          <w:bCs/>
        </w:rPr>
      </w:pPr>
    </w:p>
    <w:p w14:paraId="54DC66A4" w14:textId="79E3958E" w:rsidR="003241C9" w:rsidRPr="003241C9" w:rsidRDefault="003241C9" w:rsidP="003241C9">
      <w:pPr>
        <w:tabs>
          <w:tab w:val="left" w:pos="5610"/>
        </w:tabs>
        <w:ind w:right="81"/>
        <w:rPr>
          <w:rFonts w:cs="Arial"/>
          <w:szCs w:val="24"/>
          <w:lang w:val="en-US"/>
        </w:rPr>
      </w:pPr>
      <w:r w:rsidRPr="003241C9">
        <w:rPr>
          <w:rFonts w:cs="Arial"/>
          <w:szCs w:val="24"/>
          <w:lang w:val="en-US"/>
        </w:rPr>
        <w:t xml:space="preserve">Harrow’s Health and Wellbeing strategy plays a crucial role in advancing the equality, diversity, and inclusion agenda across the borough. By addressing the unique health needs of a diverse population, committing to addressing the building blocks of good health as a priority, as well as ensuring that health and care services are accessible and tailored to different </w:t>
      </w:r>
      <w:r w:rsidRPr="003241C9">
        <w:rPr>
          <w:rFonts w:cs="Arial"/>
          <w:szCs w:val="24"/>
          <w:lang w:val="en-US"/>
        </w:rPr>
        <w:lastRenderedPageBreak/>
        <w:t>demographics, this therefore reduces health disparities and promotes equality. It also fosters inclusivity by actively engaging with underrepresented groups and involving them in the planning and implementation of initiatives - a key priority for this strategy. This strategy can help create an environment where all residents, regardless of their background or circumstances, feel valued, supported, and empowered to lead healthier lives, ultimately contributing to a more inclusive and equitable society.</w:t>
      </w:r>
    </w:p>
    <w:p w14:paraId="21D253C1" w14:textId="77777777" w:rsidR="00900464" w:rsidRDefault="00900464" w:rsidP="00561A93">
      <w:pPr>
        <w:ind w:right="141"/>
        <w:jc w:val="both"/>
        <w:rPr>
          <w:rFonts w:cs="Arial"/>
          <w:szCs w:val="24"/>
          <w:lang w:val="en-US"/>
        </w:rPr>
      </w:pPr>
    </w:p>
    <w:p w14:paraId="0AB2C319" w14:textId="77777777" w:rsidR="0026258C" w:rsidRPr="00F30BA3" w:rsidRDefault="0026258C" w:rsidP="00373461">
      <w:pPr>
        <w:pStyle w:val="Heading1"/>
      </w:pPr>
      <w:r w:rsidRPr="00F30BA3">
        <w:t>Council Priorities</w:t>
      </w:r>
    </w:p>
    <w:p w14:paraId="285A3E38" w14:textId="77777777" w:rsidR="0026258C" w:rsidRPr="00F30BA3" w:rsidRDefault="0026258C" w:rsidP="00943725">
      <w:pPr>
        <w:pStyle w:val="StyleListParagraphBold"/>
        <w:ind w:left="0"/>
        <w:jc w:val="both"/>
        <w:rPr>
          <w:szCs w:val="24"/>
          <w:lang w:eastAsia="en-US"/>
        </w:rPr>
      </w:pPr>
      <w:r w:rsidRPr="00F30BA3">
        <w:rPr>
          <w:szCs w:val="24"/>
        </w:rPr>
        <w:t>A council that puts residents first</w:t>
      </w:r>
    </w:p>
    <w:p w14:paraId="2911B7AC" w14:textId="77777777" w:rsidR="0026258C" w:rsidRPr="00F30BA3" w:rsidRDefault="0026258C" w:rsidP="00561A93">
      <w:pPr>
        <w:pStyle w:val="StyleListParagraphBold"/>
        <w:jc w:val="both"/>
        <w:rPr>
          <w:szCs w:val="24"/>
          <w:lang w:eastAsia="en-US"/>
        </w:rPr>
      </w:pPr>
    </w:p>
    <w:p w14:paraId="44BF76A8" w14:textId="77777777" w:rsidR="0026258C" w:rsidRDefault="0026258C" w:rsidP="00943725">
      <w:pPr>
        <w:pStyle w:val="StyleListParagraphBold"/>
        <w:ind w:left="0"/>
        <w:jc w:val="both"/>
        <w:rPr>
          <w:szCs w:val="24"/>
        </w:rPr>
      </w:pPr>
      <w:r w:rsidRPr="00F30BA3">
        <w:rPr>
          <w:szCs w:val="24"/>
        </w:rPr>
        <w:t>A place where those in need are supported</w:t>
      </w:r>
    </w:p>
    <w:p w14:paraId="7D903DEF" w14:textId="77777777" w:rsidR="00734D13" w:rsidRDefault="00734D13" w:rsidP="00734D13">
      <w:pPr>
        <w:pStyle w:val="ListParagraph"/>
        <w:rPr>
          <w:szCs w:val="24"/>
        </w:rPr>
      </w:pPr>
    </w:p>
    <w:p w14:paraId="2DED2424" w14:textId="77777777" w:rsidR="00734D13" w:rsidRPr="00F30BA3" w:rsidRDefault="00734D13" w:rsidP="00734D13">
      <w:pPr>
        <w:pStyle w:val="StyleListParagraphBold"/>
        <w:jc w:val="both"/>
        <w:rPr>
          <w:szCs w:val="24"/>
        </w:rPr>
      </w:pPr>
    </w:p>
    <w:p w14:paraId="2BB5CB9A" w14:textId="77777777" w:rsidR="002A2389" w:rsidRPr="00373461" w:rsidRDefault="002A2389" w:rsidP="00373461">
      <w:pPr>
        <w:pStyle w:val="Heading1"/>
      </w:pPr>
      <w:r w:rsidRPr="00373461">
        <w:t>Section 3 - Statutory Officer Clearance</w:t>
      </w:r>
      <w:r w:rsidR="00BE1C78" w:rsidRPr="00373461">
        <w:t xml:space="preserve"> </w:t>
      </w:r>
      <w:r w:rsidR="001417FD" w:rsidRPr="00373461">
        <w:t>(Council and Joint Reports)</w:t>
      </w:r>
    </w:p>
    <w:p w14:paraId="56555B16" w14:textId="77777777" w:rsidR="00E3356C" w:rsidRPr="00A66326" w:rsidRDefault="00E3356C" w:rsidP="00E3356C">
      <w:pPr>
        <w:rPr>
          <w:sz w:val="28"/>
        </w:rPr>
      </w:pPr>
      <w:r w:rsidRPr="00A66326">
        <w:rPr>
          <w:b/>
          <w:sz w:val="28"/>
        </w:rPr>
        <w:t xml:space="preserve">Statutory Officer:  </w:t>
      </w:r>
      <w:r>
        <w:rPr>
          <w:b/>
          <w:sz w:val="28"/>
        </w:rPr>
        <w:t>Donna Edwards</w:t>
      </w:r>
    </w:p>
    <w:p w14:paraId="2394423F" w14:textId="013A1129" w:rsidR="00E3356C" w:rsidRPr="007C6B8E" w:rsidRDefault="00E3356C" w:rsidP="00E3356C">
      <w:pPr>
        <w:rPr>
          <w:szCs w:val="24"/>
        </w:rPr>
      </w:pPr>
      <w:r w:rsidRPr="007C6B8E">
        <w:rPr>
          <w:szCs w:val="24"/>
        </w:rPr>
        <w:t>Signed on behalf of the Chief Financial Officer</w:t>
      </w:r>
    </w:p>
    <w:p w14:paraId="09BE29E8" w14:textId="77777777" w:rsidR="00E3356C" w:rsidRPr="007C6B8E" w:rsidRDefault="00E3356C" w:rsidP="00E3356C">
      <w:pPr>
        <w:spacing w:after="480"/>
        <w:rPr>
          <w:sz w:val="28"/>
          <w:szCs w:val="28"/>
        </w:rPr>
      </w:pPr>
      <w:r w:rsidRPr="007C6B8E">
        <w:rPr>
          <w:b/>
          <w:sz w:val="28"/>
          <w:szCs w:val="28"/>
        </w:rPr>
        <w:t>Date:  11/01/2024</w:t>
      </w:r>
    </w:p>
    <w:p w14:paraId="5F5A538A" w14:textId="77777777" w:rsidR="00E3356C" w:rsidRPr="00A66326" w:rsidRDefault="00E3356C" w:rsidP="00E3356C">
      <w:pPr>
        <w:rPr>
          <w:sz w:val="28"/>
        </w:rPr>
      </w:pPr>
      <w:r w:rsidRPr="00A66326">
        <w:rPr>
          <w:b/>
          <w:sz w:val="28"/>
        </w:rPr>
        <w:t xml:space="preserve">Statutory Officer:  </w:t>
      </w:r>
      <w:r>
        <w:rPr>
          <w:b/>
          <w:sz w:val="28"/>
        </w:rPr>
        <w:t>Sharon Clarke</w:t>
      </w:r>
    </w:p>
    <w:p w14:paraId="2743C00F" w14:textId="4369A531" w:rsidR="00E3356C" w:rsidRPr="00BA58A6" w:rsidRDefault="00E3356C" w:rsidP="00E3356C">
      <w:r w:rsidRPr="00A66326">
        <w:t>Signed on behalf of the Monitoring Officer</w:t>
      </w:r>
    </w:p>
    <w:p w14:paraId="6D2BBAA4" w14:textId="75720D81" w:rsidR="00E3356C" w:rsidRPr="007C6B8E" w:rsidRDefault="00E3356C" w:rsidP="00E3356C">
      <w:pPr>
        <w:spacing w:after="480"/>
        <w:rPr>
          <w:sz w:val="28"/>
          <w:szCs w:val="28"/>
        </w:rPr>
      </w:pPr>
      <w:r w:rsidRPr="007C6B8E">
        <w:rPr>
          <w:b/>
          <w:sz w:val="28"/>
          <w:szCs w:val="28"/>
        </w:rPr>
        <w:t xml:space="preserve">Date:  </w:t>
      </w:r>
      <w:r w:rsidR="005E749D">
        <w:rPr>
          <w:b/>
          <w:sz w:val="28"/>
          <w:szCs w:val="28"/>
        </w:rPr>
        <w:t>10</w:t>
      </w:r>
      <w:r w:rsidRPr="007C6B8E">
        <w:rPr>
          <w:b/>
          <w:sz w:val="28"/>
          <w:szCs w:val="28"/>
        </w:rPr>
        <w:t>/01/2024</w:t>
      </w:r>
    </w:p>
    <w:p w14:paraId="41A41273" w14:textId="77777777" w:rsidR="00E3356C" w:rsidRPr="00A66326" w:rsidRDefault="00E3356C" w:rsidP="00E3356C">
      <w:pPr>
        <w:rPr>
          <w:sz w:val="28"/>
        </w:rPr>
      </w:pPr>
      <w:r>
        <w:rPr>
          <w:b/>
          <w:sz w:val="28"/>
        </w:rPr>
        <w:t>Chief</w:t>
      </w:r>
      <w:r w:rsidRPr="00A66326">
        <w:rPr>
          <w:b/>
          <w:sz w:val="28"/>
        </w:rPr>
        <w:t xml:space="preserve"> Officer:  </w:t>
      </w:r>
      <w:r>
        <w:rPr>
          <w:b/>
          <w:sz w:val="28"/>
        </w:rPr>
        <w:t xml:space="preserve">Carole Furlong on behalf of Senel Arkut </w:t>
      </w:r>
    </w:p>
    <w:p w14:paraId="45F3BB61" w14:textId="6641BEDA" w:rsidR="002A2389" w:rsidRPr="00F30BA3" w:rsidRDefault="00E3356C" w:rsidP="00E3356C">
      <w:pPr>
        <w:keepNext/>
        <w:jc w:val="both"/>
        <w:rPr>
          <w:rFonts w:cs="Arial"/>
          <w:szCs w:val="24"/>
        </w:rPr>
      </w:pPr>
      <w:r>
        <w:t>Signed on behalf of the Corporate Director</w:t>
      </w:r>
      <w:r w:rsidR="005E749D">
        <w:t xml:space="preserve"> by Director of Public Health</w:t>
      </w:r>
    </w:p>
    <w:p w14:paraId="369B585E" w14:textId="6012CE07" w:rsidR="00FF4BB9" w:rsidRPr="007C6B8E" w:rsidRDefault="00FF4BB9" w:rsidP="00561A93">
      <w:pPr>
        <w:spacing w:after="480"/>
        <w:jc w:val="both"/>
        <w:rPr>
          <w:rFonts w:cs="Arial"/>
          <w:sz w:val="28"/>
          <w:szCs w:val="28"/>
        </w:rPr>
      </w:pPr>
      <w:r w:rsidRPr="007C6B8E">
        <w:rPr>
          <w:rFonts w:cs="Arial"/>
          <w:b/>
          <w:sz w:val="28"/>
          <w:szCs w:val="28"/>
        </w:rPr>
        <w:t xml:space="preserve">Date:  </w:t>
      </w:r>
      <w:r w:rsidR="007C6B8E" w:rsidRPr="007C6B8E">
        <w:rPr>
          <w:rFonts w:cs="Arial"/>
          <w:b/>
          <w:sz w:val="28"/>
          <w:szCs w:val="28"/>
        </w:rPr>
        <w:t>1</w:t>
      </w:r>
      <w:r w:rsidR="005E749D">
        <w:rPr>
          <w:rFonts w:cs="Arial"/>
          <w:b/>
          <w:sz w:val="28"/>
          <w:szCs w:val="28"/>
        </w:rPr>
        <w:t>0</w:t>
      </w:r>
      <w:r w:rsidR="007C6B8E" w:rsidRPr="007C6B8E">
        <w:rPr>
          <w:rFonts w:cs="Arial"/>
          <w:b/>
          <w:sz w:val="28"/>
          <w:szCs w:val="28"/>
        </w:rPr>
        <w:t>/01/2024</w:t>
      </w:r>
    </w:p>
    <w:p w14:paraId="0099E0CC" w14:textId="77777777" w:rsidR="00FF4BB9" w:rsidRPr="007C6B8E" w:rsidRDefault="00FF4BB9" w:rsidP="00561A93">
      <w:pPr>
        <w:pStyle w:val="Heading3"/>
        <w:rPr>
          <w:rFonts w:ascii="Arial" w:hAnsi="Arial"/>
          <w:b/>
          <w:bCs w:val="0"/>
          <w:sz w:val="28"/>
        </w:rPr>
      </w:pPr>
      <w:r w:rsidRPr="007C6B8E">
        <w:rPr>
          <w:rFonts w:ascii="Arial" w:hAnsi="Arial"/>
          <w:b/>
          <w:bCs w:val="0"/>
          <w:sz w:val="28"/>
        </w:rPr>
        <w:t>Mandatory Checks</w:t>
      </w:r>
    </w:p>
    <w:p w14:paraId="2A51B300" w14:textId="542C3648" w:rsidR="00FF4BB9" w:rsidRPr="00F30BA3" w:rsidRDefault="00FF4BB9" w:rsidP="00561A93">
      <w:pPr>
        <w:pStyle w:val="Heading4"/>
        <w:jc w:val="both"/>
        <w:rPr>
          <w:sz w:val="24"/>
          <w:szCs w:val="24"/>
        </w:rPr>
      </w:pPr>
      <w:r w:rsidRPr="00F30BA3">
        <w:rPr>
          <w:sz w:val="24"/>
          <w:szCs w:val="24"/>
        </w:rPr>
        <w:t xml:space="preserve">Ward Councillors notified:  NO as it impacts on all Wards </w:t>
      </w:r>
    </w:p>
    <w:p w14:paraId="6B556393" w14:textId="77777777" w:rsidR="00FF4BB9" w:rsidRPr="00943725" w:rsidRDefault="00FF4BB9" w:rsidP="00561A93">
      <w:pPr>
        <w:pStyle w:val="Heading2"/>
        <w:keepNext/>
        <w:jc w:val="both"/>
        <w:rPr>
          <w:sz w:val="28"/>
          <w:szCs w:val="28"/>
        </w:rPr>
      </w:pPr>
      <w:r w:rsidRPr="00943725">
        <w:rPr>
          <w:sz w:val="28"/>
          <w:szCs w:val="28"/>
        </w:rPr>
        <w:t>Section 4 - Contact Details and Background Papers</w:t>
      </w:r>
    </w:p>
    <w:p w14:paraId="45D9F7F9" w14:textId="3FD997DC" w:rsidR="00FF4BB9" w:rsidRPr="00F30BA3" w:rsidRDefault="00FF4BB9" w:rsidP="00126D1A">
      <w:pPr>
        <w:pStyle w:val="Infotext"/>
        <w:rPr>
          <w:rFonts w:cs="Arial"/>
          <w:sz w:val="24"/>
          <w:szCs w:val="24"/>
        </w:rPr>
      </w:pPr>
      <w:r w:rsidRPr="00F30BA3">
        <w:rPr>
          <w:rFonts w:cs="Arial"/>
          <w:b/>
          <w:sz w:val="24"/>
          <w:szCs w:val="24"/>
        </w:rPr>
        <w:t>Contact:</w:t>
      </w:r>
      <w:r w:rsidRPr="00F30BA3">
        <w:rPr>
          <w:rFonts w:cs="Arial"/>
          <w:sz w:val="24"/>
          <w:szCs w:val="24"/>
        </w:rPr>
        <w:t xml:space="preserve">  </w:t>
      </w:r>
      <w:r w:rsidR="00373461">
        <w:rPr>
          <w:rFonts w:cs="Arial"/>
          <w:sz w:val="24"/>
          <w:szCs w:val="24"/>
        </w:rPr>
        <w:t>Carole Furlong,</w:t>
      </w:r>
      <w:r w:rsidR="00B365E4">
        <w:rPr>
          <w:rFonts w:cs="Arial"/>
          <w:sz w:val="24"/>
          <w:szCs w:val="24"/>
        </w:rPr>
        <w:t xml:space="preserve"> Director of Public</w:t>
      </w:r>
      <w:r w:rsidR="00126D1A">
        <w:rPr>
          <w:rFonts w:cs="Arial"/>
          <w:sz w:val="24"/>
          <w:szCs w:val="24"/>
        </w:rPr>
        <w:t xml:space="preserve"> Health, </w:t>
      </w:r>
      <w:hyperlink r:id="rId11" w:history="1">
        <w:r w:rsidR="00126D1A" w:rsidRPr="00A808EF">
          <w:rPr>
            <w:rStyle w:val="Hyperlink"/>
            <w:rFonts w:cs="Arial"/>
            <w:sz w:val="24"/>
            <w:szCs w:val="24"/>
          </w:rPr>
          <w:t>Carole.Furlong@harrow.gov.uk</w:t>
        </w:r>
      </w:hyperlink>
      <w:r w:rsidR="00373461">
        <w:rPr>
          <w:rFonts w:cs="Arial"/>
          <w:sz w:val="24"/>
          <w:szCs w:val="24"/>
        </w:rPr>
        <w:t xml:space="preserve"> </w:t>
      </w:r>
    </w:p>
    <w:p w14:paraId="20EDB099" w14:textId="568B9270" w:rsidR="00373461" w:rsidRDefault="00373461" w:rsidP="00373461">
      <w:pPr>
        <w:pStyle w:val="Infotext"/>
        <w:spacing w:before="360"/>
      </w:pPr>
      <w:r w:rsidRPr="00D914D2">
        <w:rPr>
          <w:b/>
        </w:rPr>
        <w:t>Background Papers</w:t>
      </w:r>
      <w:r>
        <w:t xml:space="preserve">:  </w:t>
      </w:r>
    </w:p>
    <w:p w14:paraId="1F5E1C69" w14:textId="01585566" w:rsidR="00734D13" w:rsidRDefault="000256BE" w:rsidP="00734D13">
      <w:pPr>
        <w:pStyle w:val="Infotext"/>
        <w:spacing w:before="360"/>
        <w:rPr>
          <w:rStyle w:val="Hyperlink"/>
        </w:rPr>
      </w:pPr>
      <w:hyperlink r:id="rId12" w:history="1">
        <w:r w:rsidR="007325EE" w:rsidRPr="00735B8B">
          <w:rPr>
            <w:rStyle w:val="Hyperlink"/>
          </w:rPr>
          <w:t>Harrow Health and Wellbeing Strategy</w:t>
        </w:r>
      </w:hyperlink>
    </w:p>
    <w:p w14:paraId="24C1F0F1" w14:textId="46D3BE1C" w:rsidR="004C3C22" w:rsidRDefault="00DE1E6D" w:rsidP="00DE1E6D">
      <w:pPr>
        <w:pStyle w:val="Infotext"/>
        <w:spacing w:before="360" w:after="240"/>
      </w:pPr>
      <w:r w:rsidRPr="00DE1E6D">
        <w:t xml:space="preserve"> </w:t>
      </w:r>
    </w:p>
    <w:p w14:paraId="599C9D58" w14:textId="105862EC" w:rsidR="00373461" w:rsidRDefault="00373461" w:rsidP="00373461">
      <w:pPr>
        <w:pStyle w:val="Infotext"/>
        <w:spacing w:before="360" w:after="240"/>
      </w:pPr>
      <w:r>
        <w:lastRenderedPageBreak/>
        <w:t xml:space="preserve">If appropriate, does the report include the following considerations? </w:t>
      </w:r>
    </w:p>
    <w:p w14:paraId="684D28E9" w14:textId="77777777" w:rsidR="00373461" w:rsidRDefault="00373461" w:rsidP="00373461">
      <w:pPr>
        <w:pStyle w:val="Infotext"/>
        <w:tabs>
          <w:tab w:val="left" w:pos="656"/>
          <w:tab w:val="left" w:pos="6399"/>
        </w:tabs>
      </w:pPr>
      <w:r>
        <w:t>1.</w:t>
      </w:r>
      <w:r>
        <w:tab/>
        <w:t xml:space="preserve">Consultation </w:t>
      </w:r>
      <w:r>
        <w:tab/>
        <w:t>NO</w:t>
      </w:r>
    </w:p>
    <w:p w14:paraId="73275AB8" w14:textId="77777777" w:rsidR="00373461" w:rsidRDefault="00373461" w:rsidP="00373461">
      <w:pPr>
        <w:pStyle w:val="Infotext"/>
        <w:tabs>
          <w:tab w:val="left" w:pos="656"/>
          <w:tab w:val="left" w:pos="6399"/>
        </w:tabs>
      </w:pPr>
      <w:r>
        <w:t>2.</w:t>
      </w:r>
      <w:r>
        <w:tab/>
        <w:t>Priorities</w:t>
      </w:r>
      <w:r>
        <w:tab/>
        <w:t>NO</w:t>
      </w:r>
    </w:p>
    <w:p w14:paraId="0A1A8035" w14:textId="0BED128F" w:rsidR="002A2389" w:rsidRPr="00F30BA3" w:rsidRDefault="002A2389" w:rsidP="00373461">
      <w:pPr>
        <w:pStyle w:val="Infotext"/>
        <w:spacing w:before="360"/>
        <w:jc w:val="both"/>
        <w:rPr>
          <w:rFonts w:cs="Arial"/>
          <w:sz w:val="24"/>
          <w:szCs w:val="24"/>
        </w:rPr>
      </w:pPr>
    </w:p>
    <w:sectPr w:rsidR="002A2389" w:rsidRPr="00F30BA3"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12AC" w14:textId="77777777" w:rsidR="00D331F0" w:rsidRDefault="00D331F0">
      <w:r>
        <w:separator/>
      </w:r>
    </w:p>
  </w:endnote>
  <w:endnote w:type="continuationSeparator" w:id="0">
    <w:p w14:paraId="5781A826" w14:textId="77777777" w:rsidR="00D331F0" w:rsidRDefault="00D331F0">
      <w:r>
        <w:continuationSeparator/>
      </w:r>
    </w:p>
  </w:endnote>
  <w:endnote w:type="continuationNotice" w:id="1">
    <w:p w14:paraId="7758F29C" w14:textId="77777777" w:rsidR="00D331F0" w:rsidRDefault="00D33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0D34" w14:textId="77777777" w:rsidR="00D331F0" w:rsidRDefault="00D331F0">
      <w:r>
        <w:separator/>
      </w:r>
    </w:p>
  </w:footnote>
  <w:footnote w:type="continuationSeparator" w:id="0">
    <w:p w14:paraId="3A9FDFC6" w14:textId="77777777" w:rsidR="00D331F0" w:rsidRDefault="00D331F0">
      <w:r>
        <w:continuationSeparator/>
      </w:r>
    </w:p>
  </w:footnote>
  <w:footnote w:type="continuationNotice" w:id="1">
    <w:p w14:paraId="38CEA763" w14:textId="77777777" w:rsidR="00D331F0" w:rsidRDefault="00D331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A1821"/>
    <w:multiLevelType w:val="hybridMultilevel"/>
    <w:tmpl w:val="C840B3D8"/>
    <w:lvl w:ilvl="0" w:tplc="FAB8180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83E0C"/>
    <w:multiLevelType w:val="hybridMultilevel"/>
    <w:tmpl w:val="49EC533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02A1"/>
    <w:multiLevelType w:val="hybridMultilevel"/>
    <w:tmpl w:val="B4F6D74C"/>
    <w:lvl w:ilvl="0" w:tplc="0B3A2800">
      <w:start w:val="1"/>
      <w:numFmt w:val="bullet"/>
      <w:lvlText w:val=""/>
      <w:lvlJc w:val="left"/>
      <w:pPr>
        <w:ind w:left="720" w:hanging="360"/>
      </w:pPr>
      <w:rPr>
        <w:rFonts w:ascii="Symbol" w:hAnsi="Symbol" w:hint="default"/>
      </w:rPr>
    </w:lvl>
    <w:lvl w:ilvl="1" w:tplc="D7C8D3BA">
      <w:start w:val="1"/>
      <w:numFmt w:val="bullet"/>
      <w:lvlText w:val="o"/>
      <w:lvlJc w:val="left"/>
      <w:pPr>
        <w:ind w:left="1440" w:hanging="360"/>
      </w:pPr>
      <w:rPr>
        <w:rFonts w:ascii="Courier New" w:hAnsi="Courier New" w:hint="default"/>
      </w:rPr>
    </w:lvl>
    <w:lvl w:ilvl="2" w:tplc="45CC355A">
      <w:start w:val="1"/>
      <w:numFmt w:val="bullet"/>
      <w:lvlText w:val=""/>
      <w:lvlJc w:val="left"/>
      <w:pPr>
        <w:ind w:left="2160" w:hanging="360"/>
      </w:pPr>
      <w:rPr>
        <w:rFonts w:ascii="Wingdings" w:hAnsi="Wingdings" w:hint="default"/>
      </w:rPr>
    </w:lvl>
    <w:lvl w:ilvl="3" w:tplc="49BC40D6">
      <w:start w:val="1"/>
      <w:numFmt w:val="bullet"/>
      <w:lvlText w:val=""/>
      <w:lvlJc w:val="left"/>
      <w:pPr>
        <w:ind w:left="2880" w:hanging="360"/>
      </w:pPr>
      <w:rPr>
        <w:rFonts w:ascii="Symbol" w:hAnsi="Symbol" w:hint="default"/>
      </w:rPr>
    </w:lvl>
    <w:lvl w:ilvl="4" w:tplc="B9E4DC52">
      <w:start w:val="1"/>
      <w:numFmt w:val="bullet"/>
      <w:lvlText w:val="o"/>
      <w:lvlJc w:val="left"/>
      <w:pPr>
        <w:ind w:left="3600" w:hanging="360"/>
      </w:pPr>
      <w:rPr>
        <w:rFonts w:ascii="Courier New" w:hAnsi="Courier New" w:hint="default"/>
      </w:rPr>
    </w:lvl>
    <w:lvl w:ilvl="5" w:tplc="BCB277D2">
      <w:start w:val="1"/>
      <w:numFmt w:val="bullet"/>
      <w:lvlText w:val=""/>
      <w:lvlJc w:val="left"/>
      <w:pPr>
        <w:ind w:left="4320" w:hanging="360"/>
      </w:pPr>
      <w:rPr>
        <w:rFonts w:ascii="Wingdings" w:hAnsi="Wingdings" w:hint="default"/>
      </w:rPr>
    </w:lvl>
    <w:lvl w:ilvl="6" w:tplc="0FC205CE">
      <w:start w:val="1"/>
      <w:numFmt w:val="bullet"/>
      <w:lvlText w:val=""/>
      <w:lvlJc w:val="left"/>
      <w:pPr>
        <w:ind w:left="5040" w:hanging="360"/>
      </w:pPr>
      <w:rPr>
        <w:rFonts w:ascii="Symbol" w:hAnsi="Symbol" w:hint="default"/>
      </w:rPr>
    </w:lvl>
    <w:lvl w:ilvl="7" w:tplc="F5AA16B4">
      <w:start w:val="1"/>
      <w:numFmt w:val="bullet"/>
      <w:lvlText w:val="o"/>
      <w:lvlJc w:val="left"/>
      <w:pPr>
        <w:ind w:left="5760" w:hanging="360"/>
      </w:pPr>
      <w:rPr>
        <w:rFonts w:ascii="Courier New" w:hAnsi="Courier New" w:hint="default"/>
      </w:rPr>
    </w:lvl>
    <w:lvl w:ilvl="8" w:tplc="421215A4">
      <w:start w:val="1"/>
      <w:numFmt w:val="bullet"/>
      <w:lvlText w:val=""/>
      <w:lvlJc w:val="left"/>
      <w:pPr>
        <w:ind w:left="6480" w:hanging="360"/>
      </w:pPr>
      <w:rPr>
        <w:rFonts w:ascii="Wingdings" w:hAnsi="Wingdings" w:hint="default"/>
      </w:rPr>
    </w:lvl>
  </w:abstractNum>
  <w:abstractNum w:abstractNumId="6" w15:restartNumberingAfterBreak="0">
    <w:nsid w:val="0EF15D5E"/>
    <w:multiLevelType w:val="hybridMultilevel"/>
    <w:tmpl w:val="35E2A21A"/>
    <w:lvl w:ilvl="0" w:tplc="FAB8180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71A82"/>
    <w:multiLevelType w:val="hybridMultilevel"/>
    <w:tmpl w:val="4A5ABFDE"/>
    <w:lvl w:ilvl="0" w:tplc="7B4A36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D10A5"/>
    <w:multiLevelType w:val="hybridMultilevel"/>
    <w:tmpl w:val="7C321224"/>
    <w:lvl w:ilvl="0" w:tplc="08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0" w15:restartNumberingAfterBreak="0">
    <w:nsid w:val="21474CBA"/>
    <w:multiLevelType w:val="multilevel"/>
    <w:tmpl w:val="8A348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C2AD7"/>
    <w:multiLevelType w:val="hybridMultilevel"/>
    <w:tmpl w:val="40F8E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DE30E6"/>
    <w:multiLevelType w:val="hybridMultilevel"/>
    <w:tmpl w:val="4E9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50810"/>
    <w:multiLevelType w:val="multilevel"/>
    <w:tmpl w:val="5D74B650"/>
    <w:lvl w:ilvl="0">
      <w:start w:val="1"/>
      <w:numFmt w:val="decimal"/>
      <w:lvlText w:val="%1."/>
      <w:lvlJc w:val="left"/>
      <w:pPr>
        <w:ind w:left="720" w:hanging="360"/>
      </w:pPr>
      <w:rPr>
        <w:rFonts w:hint="default"/>
      </w:rPr>
    </w:lvl>
    <w:lvl w:ilvl="1">
      <w:start w:val="1"/>
      <w:numFmt w:val="decimal"/>
      <w:isLgl/>
      <w:lvlText w:val="%1.%2"/>
      <w:lvlJc w:val="left"/>
      <w:pPr>
        <w:ind w:left="401" w:hanging="401"/>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15:restartNumberingAfterBreak="0">
    <w:nsid w:val="40872E95"/>
    <w:multiLevelType w:val="hybridMultilevel"/>
    <w:tmpl w:val="74987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7B471E"/>
    <w:multiLevelType w:val="hybridMultilevel"/>
    <w:tmpl w:val="2928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C6287C"/>
    <w:multiLevelType w:val="multilevel"/>
    <w:tmpl w:val="FFFFFFFF"/>
    <w:lvl w:ilvl="0">
      <w:start w:val="1"/>
      <w:numFmt w:val="decimal"/>
      <w:lvlText w:val="%1."/>
      <w:lvlJc w:val="left"/>
      <w:pPr>
        <w:ind w:left="460" w:hanging="360"/>
      </w:pPr>
      <w:rPr>
        <w:rFonts w:cs="Times New Roman"/>
      </w:rPr>
    </w:lvl>
    <w:lvl w:ilvl="1">
      <w:start w:val="1"/>
      <w:numFmt w:val="lowerLetter"/>
      <w:lvlText w:val="%2."/>
      <w:lvlJc w:val="left"/>
      <w:pPr>
        <w:ind w:left="1180" w:hanging="360"/>
      </w:pPr>
      <w:rPr>
        <w:rFonts w:cs="Times New Roman"/>
      </w:rPr>
    </w:lvl>
    <w:lvl w:ilvl="2">
      <w:start w:val="1"/>
      <w:numFmt w:val="lowerRoman"/>
      <w:lvlText w:val="%3."/>
      <w:lvlJc w:val="right"/>
      <w:pPr>
        <w:ind w:left="1900" w:hanging="180"/>
      </w:pPr>
      <w:rPr>
        <w:rFonts w:cs="Times New Roman"/>
      </w:rPr>
    </w:lvl>
    <w:lvl w:ilvl="3">
      <w:start w:val="1"/>
      <w:numFmt w:val="decimal"/>
      <w:lvlText w:val="%4."/>
      <w:lvlJc w:val="left"/>
      <w:pPr>
        <w:ind w:left="2620" w:hanging="360"/>
      </w:pPr>
      <w:rPr>
        <w:rFonts w:cs="Times New Roman"/>
      </w:rPr>
    </w:lvl>
    <w:lvl w:ilvl="4">
      <w:start w:val="1"/>
      <w:numFmt w:val="lowerLetter"/>
      <w:lvlText w:val="%5."/>
      <w:lvlJc w:val="left"/>
      <w:pPr>
        <w:ind w:left="3340" w:hanging="360"/>
      </w:pPr>
      <w:rPr>
        <w:rFonts w:cs="Times New Roman"/>
      </w:rPr>
    </w:lvl>
    <w:lvl w:ilvl="5">
      <w:start w:val="1"/>
      <w:numFmt w:val="lowerRoman"/>
      <w:lvlText w:val="%6."/>
      <w:lvlJc w:val="right"/>
      <w:pPr>
        <w:ind w:left="4060" w:hanging="180"/>
      </w:pPr>
      <w:rPr>
        <w:rFonts w:cs="Times New Roman"/>
      </w:rPr>
    </w:lvl>
    <w:lvl w:ilvl="6">
      <w:start w:val="1"/>
      <w:numFmt w:val="decimal"/>
      <w:lvlText w:val="%7."/>
      <w:lvlJc w:val="left"/>
      <w:pPr>
        <w:ind w:left="4780" w:hanging="360"/>
      </w:pPr>
      <w:rPr>
        <w:rFonts w:cs="Times New Roman"/>
      </w:rPr>
    </w:lvl>
    <w:lvl w:ilvl="7">
      <w:start w:val="1"/>
      <w:numFmt w:val="lowerLetter"/>
      <w:lvlText w:val="%8."/>
      <w:lvlJc w:val="left"/>
      <w:pPr>
        <w:ind w:left="5500" w:hanging="360"/>
      </w:pPr>
      <w:rPr>
        <w:rFonts w:cs="Times New Roman"/>
      </w:rPr>
    </w:lvl>
    <w:lvl w:ilvl="8">
      <w:start w:val="1"/>
      <w:numFmt w:val="lowerRoman"/>
      <w:lvlText w:val="%9."/>
      <w:lvlJc w:val="right"/>
      <w:pPr>
        <w:ind w:left="6220" w:hanging="180"/>
      </w:pPr>
      <w:rPr>
        <w:rFonts w:cs="Times New Roman"/>
      </w:rPr>
    </w:lvl>
  </w:abstractNum>
  <w:abstractNum w:abstractNumId="2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A4C5B"/>
    <w:multiLevelType w:val="hybridMultilevel"/>
    <w:tmpl w:val="26A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85489"/>
    <w:multiLevelType w:val="hybridMultilevel"/>
    <w:tmpl w:val="B8A4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C740C"/>
    <w:multiLevelType w:val="multilevel"/>
    <w:tmpl w:val="5E9C0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5312C"/>
    <w:multiLevelType w:val="hybridMultilevel"/>
    <w:tmpl w:val="24565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407937">
    <w:abstractNumId w:val="5"/>
  </w:num>
  <w:num w:numId="2" w16cid:durableId="1872109625">
    <w:abstractNumId w:val="28"/>
  </w:num>
  <w:num w:numId="3" w16cid:durableId="1569226707">
    <w:abstractNumId w:val="21"/>
  </w:num>
  <w:num w:numId="4" w16cid:durableId="813790519">
    <w:abstractNumId w:val="27"/>
  </w:num>
  <w:num w:numId="5" w16cid:durableId="379669333">
    <w:abstractNumId w:val="1"/>
  </w:num>
  <w:num w:numId="6" w16cid:durableId="339699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335836">
    <w:abstractNumId w:val="14"/>
  </w:num>
  <w:num w:numId="8" w16cid:durableId="164978740">
    <w:abstractNumId w:val="16"/>
  </w:num>
  <w:num w:numId="9" w16cid:durableId="1299336545">
    <w:abstractNumId w:val="8"/>
  </w:num>
  <w:num w:numId="10" w16cid:durableId="1565219860">
    <w:abstractNumId w:val="26"/>
  </w:num>
  <w:num w:numId="11" w16cid:durableId="409237689">
    <w:abstractNumId w:val="31"/>
  </w:num>
  <w:num w:numId="12" w16cid:durableId="892698259">
    <w:abstractNumId w:val="23"/>
  </w:num>
  <w:num w:numId="13" w16cid:durableId="412046328">
    <w:abstractNumId w:val="4"/>
  </w:num>
  <w:num w:numId="14" w16cid:durableId="1783839185">
    <w:abstractNumId w:val="11"/>
  </w:num>
  <w:num w:numId="15" w16cid:durableId="1911234421">
    <w:abstractNumId w:val="20"/>
  </w:num>
  <w:num w:numId="16" w16cid:durableId="1311404609">
    <w:abstractNumId w:val="10"/>
  </w:num>
  <w:num w:numId="17" w16cid:durableId="213930310">
    <w:abstractNumId w:val="29"/>
  </w:num>
  <w:num w:numId="18" w16cid:durableId="1338776680">
    <w:abstractNumId w:val="19"/>
  </w:num>
  <w:num w:numId="19" w16cid:durableId="334654337">
    <w:abstractNumId w:val="15"/>
  </w:num>
  <w:num w:numId="20" w16cid:durableId="1999653394">
    <w:abstractNumId w:val="9"/>
  </w:num>
  <w:num w:numId="21" w16cid:durableId="1712532105">
    <w:abstractNumId w:val="0"/>
  </w:num>
  <w:num w:numId="22" w16cid:durableId="20253841">
    <w:abstractNumId w:val="18"/>
  </w:num>
  <w:num w:numId="23" w16cid:durableId="938752138">
    <w:abstractNumId w:val="12"/>
  </w:num>
  <w:num w:numId="24" w16cid:durableId="17662211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2383438">
    <w:abstractNumId w:val="25"/>
  </w:num>
  <w:num w:numId="26" w16cid:durableId="214435305">
    <w:abstractNumId w:val="13"/>
  </w:num>
  <w:num w:numId="27" w16cid:durableId="1017779284">
    <w:abstractNumId w:val="3"/>
  </w:num>
  <w:num w:numId="28" w16cid:durableId="1806000616">
    <w:abstractNumId w:val="24"/>
  </w:num>
  <w:num w:numId="29" w16cid:durableId="1279991786">
    <w:abstractNumId w:val="2"/>
  </w:num>
  <w:num w:numId="30" w16cid:durableId="1458645868">
    <w:abstractNumId w:val="6"/>
  </w:num>
  <w:num w:numId="31" w16cid:durableId="304236451">
    <w:abstractNumId w:val="17"/>
  </w:num>
  <w:num w:numId="32" w16cid:durableId="16734310">
    <w:abstractNumId w:val="30"/>
  </w:num>
  <w:num w:numId="33" w16cid:durableId="207838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3122"/>
    <w:rsid w:val="000110EA"/>
    <w:rsid w:val="000155D6"/>
    <w:rsid w:val="000256BE"/>
    <w:rsid w:val="00025CCA"/>
    <w:rsid w:val="00057F10"/>
    <w:rsid w:val="00066C35"/>
    <w:rsid w:val="00071EB4"/>
    <w:rsid w:val="00077298"/>
    <w:rsid w:val="00080819"/>
    <w:rsid w:val="000B6DBB"/>
    <w:rsid w:val="000C66F9"/>
    <w:rsid w:val="000C7153"/>
    <w:rsid w:val="000D2BF2"/>
    <w:rsid w:val="000D5FFC"/>
    <w:rsid w:val="000D7D32"/>
    <w:rsid w:val="000E3F4A"/>
    <w:rsid w:val="000F2695"/>
    <w:rsid w:val="000F65C0"/>
    <w:rsid w:val="00101553"/>
    <w:rsid w:val="00110B8A"/>
    <w:rsid w:val="001219F9"/>
    <w:rsid w:val="00122491"/>
    <w:rsid w:val="00126D1A"/>
    <w:rsid w:val="0013289B"/>
    <w:rsid w:val="001417FD"/>
    <w:rsid w:val="0017635F"/>
    <w:rsid w:val="001939BA"/>
    <w:rsid w:val="001976BF"/>
    <w:rsid w:val="001C154D"/>
    <w:rsid w:val="001C5225"/>
    <w:rsid w:val="001E0219"/>
    <w:rsid w:val="001E7655"/>
    <w:rsid w:val="001F341E"/>
    <w:rsid w:val="002005C4"/>
    <w:rsid w:val="00207D1A"/>
    <w:rsid w:val="00231A1D"/>
    <w:rsid w:val="0023723B"/>
    <w:rsid w:val="0026258C"/>
    <w:rsid w:val="0026498C"/>
    <w:rsid w:val="0027326E"/>
    <w:rsid w:val="002754DB"/>
    <w:rsid w:val="002931E6"/>
    <w:rsid w:val="00296F20"/>
    <w:rsid w:val="002A2389"/>
    <w:rsid w:val="002A6109"/>
    <w:rsid w:val="002A7E5A"/>
    <w:rsid w:val="002B1DBD"/>
    <w:rsid w:val="002B367F"/>
    <w:rsid w:val="002C08E2"/>
    <w:rsid w:val="002C1794"/>
    <w:rsid w:val="002C1D70"/>
    <w:rsid w:val="002C5F62"/>
    <w:rsid w:val="002D0362"/>
    <w:rsid w:val="002D583B"/>
    <w:rsid w:val="002D6CD0"/>
    <w:rsid w:val="002E77E3"/>
    <w:rsid w:val="002F10F4"/>
    <w:rsid w:val="00305735"/>
    <w:rsid w:val="003115B3"/>
    <w:rsid w:val="003171C0"/>
    <w:rsid w:val="003241C9"/>
    <w:rsid w:val="00342CAC"/>
    <w:rsid w:val="0034544F"/>
    <w:rsid w:val="00354EB2"/>
    <w:rsid w:val="00373461"/>
    <w:rsid w:val="003772A0"/>
    <w:rsid w:val="00393B6F"/>
    <w:rsid w:val="003B419C"/>
    <w:rsid w:val="003B6B15"/>
    <w:rsid w:val="003C0B16"/>
    <w:rsid w:val="003C5A41"/>
    <w:rsid w:val="003E6EEF"/>
    <w:rsid w:val="00412A1D"/>
    <w:rsid w:val="00412B81"/>
    <w:rsid w:val="004213D7"/>
    <w:rsid w:val="0042394B"/>
    <w:rsid w:val="0046135B"/>
    <w:rsid w:val="0046257E"/>
    <w:rsid w:val="00473B08"/>
    <w:rsid w:val="00474B5F"/>
    <w:rsid w:val="00485470"/>
    <w:rsid w:val="004969E1"/>
    <w:rsid w:val="004A6654"/>
    <w:rsid w:val="004B2C9D"/>
    <w:rsid w:val="004C2D29"/>
    <w:rsid w:val="004C3C22"/>
    <w:rsid w:val="004D00DE"/>
    <w:rsid w:val="004D5D86"/>
    <w:rsid w:val="004E3B15"/>
    <w:rsid w:val="004E667D"/>
    <w:rsid w:val="004E6AF9"/>
    <w:rsid w:val="004F2863"/>
    <w:rsid w:val="004F7160"/>
    <w:rsid w:val="0050171B"/>
    <w:rsid w:val="0050288C"/>
    <w:rsid w:val="00504BD9"/>
    <w:rsid w:val="00510640"/>
    <w:rsid w:val="00511D18"/>
    <w:rsid w:val="00513FB9"/>
    <w:rsid w:val="00524394"/>
    <w:rsid w:val="00530081"/>
    <w:rsid w:val="00530D4A"/>
    <w:rsid w:val="005454B7"/>
    <w:rsid w:val="00557532"/>
    <w:rsid w:val="00561A93"/>
    <w:rsid w:val="00575E4E"/>
    <w:rsid w:val="005861B4"/>
    <w:rsid w:val="005874F0"/>
    <w:rsid w:val="00587A57"/>
    <w:rsid w:val="00591721"/>
    <w:rsid w:val="005A3AEE"/>
    <w:rsid w:val="005A7111"/>
    <w:rsid w:val="005B05C9"/>
    <w:rsid w:val="005B77C4"/>
    <w:rsid w:val="005C773C"/>
    <w:rsid w:val="005D03CC"/>
    <w:rsid w:val="005D2A04"/>
    <w:rsid w:val="005D4287"/>
    <w:rsid w:val="005D4ADF"/>
    <w:rsid w:val="005E11C5"/>
    <w:rsid w:val="005E384D"/>
    <w:rsid w:val="005E570E"/>
    <w:rsid w:val="005E749D"/>
    <w:rsid w:val="005F2181"/>
    <w:rsid w:val="005F724B"/>
    <w:rsid w:val="00603244"/>
    <w:rsid w:val="00615340"/>
    <w:rsid w:val="00620ACA"/>
    <w:rsid w:val="00626604"/>
    <w:rsid w:val="0063072B"/>
    <w:rsid w:val="006465F6"/>
    <w:rsid w:val="00662891"/>
    <w:rsid w:val="00675FCB"/>
    <w:rsid w:val="006A020A"/>
    <w:rsid w:val="006A2D90"/>
    <w:rsid w:val="006A7572"/>
    <w:rsid w:val="006C32DF"/>
    <w:rsid w:val="006C3914"/>
    <w:rsid w:val="006D2C51"/>
    <w:rsid w:val="006E456B"/>
    <w:rsid w:val="0070209F"/>
    <w:rsid w:val="0070343A"/>
    <w:rsid w:val="00725D86"/>
    <w:rsid w:val="0073158A"/>
    <w:rsid w:val="007325EE"/>
    <w:rsid w:val="00734D13"/>
    <w:rsid w:val="0074184E"/>
    <w:rsid w:val="00741A9F"/>
    <w:rsid w:val="00743DBB"/>
    <w:rsid w:val="00745CDD"/>
    <w:rsid w:val="00755F8D"/>
    <w:rsid w:val="00765960"/>
    <w:rsid w:val="00766513"/>
    <w:rsid w:val="00771F8A"/>
    <w:rsid w:val="00782345"/>
    <w:rsid w:val="0078469B"/>
    <w:rsid w:val="00794B78"/>
    <w:rsid w:val="00796503"/>
    <w:rsid w:val="007B271E"/>
    <w:rsid w:val="007C1753"/>
    <w:rsid w:val="007C3C7F"/>
    <w:rsid w:val="007C6295"/>
    <w:rsid w:val="007C6B8E"/>
    <w:rsid w:val="007D56C8"/>
    <w:rsid w:val="007E7303"/>
    <w:rsid w:val="007F7725"/>
    <w:rsid w:val="007F7B2F"/>
    <w:rsid w:val="00803162"/>
    <w:rsid w:val="00812084"/>
    <w:rsid w:val="008136B1"/>
    <w:rsid w:val="00875D73"/>
    <w:rsid w:val="00880FD7"/>
    <w:rsid w:val="008817A8"/>
    <w:rsid w:val="008A6B63"/>
    <w:rsid w:val="008B4208"/>
    <w:rsid w:val="008C57A5"/>
    <w:rsid w:val="008D044D"/>
    <w:rsid w:val="008D076D"/>
    <w:rsid w:val="008D1750"/>
    <w:rsid w:val="008E05E5"/>
    <w:rsid w:val="008E06C6"/>
    <w:rsid w:val="008E3E9B"/>
    <w:rsid w:val="008E4913"/>
    <w:rsid w:val="008F36A1"/>
    <w:rsid w:val="008F4594"/>
    <w:rsid w:val="008F5C55"/>
    <w:rsid w:val="00900464"/>
    <w:rsid w:val="0090100E"/>
    <w:rsid w:val="00903A41"/>
    <w:rsid w:val="00913017"/>
    <w:rsid w:val="00914740"/>
    <w:rsid w:val="00917CA9"/>
    <w:rsid w:val="00931570"/>
    <w:rsid w:val="0093767E"/>
    <w:rsid w:val="00941E69"/>
    <w:rsid w:val="00943725"/>
    <w:rsid w:val="009456FD"/>
    <w:rsid w:val="00947EB9"/>
    <w:rsid w:val="00961703"/>
    <w:rsid w:val="00972A02"/>
    <w:rsid w:val="00973CE2"/>
    <w:rsid w:val="00990CEB"/>
    <w:rsid w:val="0099517C"/>
    <w:rsid w:val="00996EC3"/>
    <w:rsid w:val="009A1352"/>
    <w:rsid w:val="009A69E6"/>
    <w:rsid w:val="009B2ECD"/>
    <w:rsid w:val="009B533E"/>
    <w:rsid w:val="009B5DFA"/>
    <w:rsid w:val="009B6FD7"/>
    <w:rsid w:val="009B7914"/>
    <w:rsid w:val="009C69B8"/>
    <w:rsid w:val="009F1104"/>
    <w:rsid w:val="00A02EA3"/>
    <w:rsid w:val="00A259D1"/>
    <w:rsid w:val="00A27CEF"/>
    <w:rsid w:val="00A43885"/>
    <w:rsid w:val="00A50388"/>
    <w:rsid w:val="00A51FAE"/>
    <w:rsid w:val="00A566E7"/>
    <w:rsid w:val="00A613C1"/>
    <w:rsid w:val="00A64853"/>
    <w:rsid w:val="00A71E79"/>
    <w:rsid w:val="00A71E9F"/>
    <w:rsid w:val="00A76A21"/>
    <w:rsid w:val="00A86718"/>
    <w:rsid w:val="00A940D3"/>
    <w:rsid w:val="00A96FCA"/>
    <w:rsid w:val="00AA06F2"/>
    <w:rsid w:val="00AA4BE8"/>
    <w:rsid w:val="00AA5D1C"/>
    <w:rsid w:val="00AC7BA9"/>
    <w:rsid w:val="00AF62DB"/>
    <w:rsid w:val="00B0425E"/>
    <w:rsid w:val="00B05812"/>
    <w:rsid w:val="00B365E4"/>
    <w:rsid w:val="00B425FA"/>
    <w:rsid w:val="00B82891"/>
    <w:rsid w:val="00B92AA6"/>
    <w:rsid w:val="00B9498A"/>
    <w:rsid w:val="00BD0576"/>
    <w:rsid w:val="00BD684A"/>
    <w:rsid w:val="00BE1C78"/>
    <w:rsid w:val="00BE4EA8"/>
    <w:rsid w:val="00BE52AC"/>
    <w:rsid w:val="00BF6C06"/>
    <w:rsid w:val="00C00DD3"/>
    <w:rsid w:val="00C02045"/>
    <w:rsid w:val="00C11C83"/>
    <w:rsid w:val="00C15FF1"/>
    <w:rsid w:val="00C171C8"/>
    <w:rsid w:val="00C20AD9"/>
    <w:rsid w:val="00C20FCC"/>
    <w:rsid w:val="00C2345A"/>
    <w:rsid w:val="00C32DAE"/>
    <w:rsid w:val="00C40E24"/>
    <w:rsid w:val="00C51FAD"/>
    <w:rsid w:val="00C60F26"/>
    <w:rsid w:val="00C6123A"/>
    <w:rsid w:val="00C82CEC"/>
    <w:rsid w:val="00C91384"/>
    <w:rsid w:val="00C95717"/>
    <w:rsid w:val="00C96EF5"/>
    <w:rsid w:val="00CB1EB2"/>
    <w:rsid w:val="00CE41CD"/>
    <w:rsid w:val="00D1109B"/>
    <w:rsid w:val="00D21690"/>
    <w:rsid w:val="00D32B51"/>
    <w:rsid w:val="00D331F0"/>
    <w:rsid w:val="00D34145"/>
    <w:rsid w:val="00D34668"/>
    <w:rsid w:val="00D3740E"/>
    <w:rsid w:val="00D45130"/>
    <w:rsid w:val="00D56DCD"/>
    <w:rsid w:val="00D67254"/>
    <w:rsid w:val="00D73FAC"/>
    <w:rsid w:val="00D77D7A"/>
    <w:rsid w:val="00D82F57"/>
    <w:rsid w:val="00D841A5"/>
    <w:rsid w:val="00D914D2"/>
    <w:rsid w:val="00D930EB"/>
    <w:rsid w:val="00D95661"/>
    <w:rsid w:val="00DA25DB"/>
    <w:rsid w:val="00DB39E5"/>
    <w:rsid w:val="00DC5005"/>
    <w:rsid w:val="00DC62B5"/>
    <w:rsid w:val="00DD4251"/>
    <w:rsid w:val="00DE1E6D"/>
    <w:rsid w:val="00DF14D1"/>
    <w:rsid w:val="00DF48BB"/>
    <w:rsid w:val="00E02B50"/>
    <w:rsid w:val="00E03DB7"/>
    <w:rsid w:val="00E03F11"/>
    <w:rsid w:val="00E06DC8"/>
    <w:rsid w:val="00E220B5"/>
    <w:rsid w:val="00E2232C"/>
    <w:rsid w:val="00E26449"/>
    <w:rsid w:val="00E3356C"/>
    <w:rsid w:val="00E5039D"/>
    <w:rsid w:val="00E50569"/>
    <w:rsid w:val="00E52E60"/>
    <w:rsid w:val="00E602B0"/>
    <w:rsid w:val="00E66F12"/>
    <w:rsid w:val="00E75C46"/>
    <w:rsid w:val="00E87166"/>
    <w:rsid w:val="00E877EB"/>
    <w:rsid w:val="00E902C8"/>
    <w:rsid w:val="00E934EA"/>
    <w:rsid w:val="00EA6242"/>
    <w:rsid w:val="00EC5C2E"/>
    <w:rsid w:val="00EC6E05"/>
    <w:rsid w:val="00EE0325"/>
    <w:rsid w:val="00EE05FD"/>
    <w:rsid w:val="00EE3010"/>
    <w:rsid w:val="00EF28CA"/>
    <w:rsid w:val="00F02DED"/>
    <w:rsid w:val="00F07C4B"/>
    <w:rsid w:val="00F07CA4"/>
    <w:rsid w:val="00F10930"/>
    <w:rsid w:val="00F13285"/>
    <w:rsid w:val="00F30BA3"/>
    <w:rsid w:val="00F33381"/>
    <w:rsid w:val="00F3702D"/>
    <w:rsid w:val="00F37C8A"/>
    <w:rsid w:val="00F41A18"/>
    <w:rsid w:val="00F4213B"/>
    <w:rsid w:val="00F454D1"/>
    <w:rsid w:val="00F60EB8"/>
    <w:rsid w:val="00F663ED"/>
    <w:rsid w:val="00F66959"/>
    <w:rsid w:val="00F66DED"/>
    <w:rsid w:val="00F849ED"/>
    <w:rsid w:val="00F875BD"/>
    <w:rsid w:val="00F92398"/>
    <w:rsid w:val="00FA4281"/>
    <w:rsid w:val="00FB4681"/>
    <w:rsid w:val="00FD31A0"/>
    <w:rsid w:val="00FE16DE"/>
    <w:rsid w:val="00FF1DCF"/>
    <w:rsid w:val="00FF28A5"/>
    <w:rsid w:val="00FF30F2"/>
    <w:rsid w:val="00FF3AA7"/>
    <w:rsid w:val="00FF4BB9"/>
    <w:rsid w:val="00FF6AAD"/>
    <w:rsid w:val="00FF71E5"/>
    <w:rsid w:val="0357A4C1"/>
    <w:rsid w:val="03BE8579"/>
    <w:rsid w:val="0A31DFB2"/>
    <w:rsid w:val="0AE2559F"/>
    <w:rsid w:val="0BD708F7"/>
    <w:rsid w:val="11726AE4"/>
    <w:rsid w:val="16947BC3"/>
    <w:rsid w:val="16AD56D3"/>
    <w:rsid w:val="1A13FCFD"/>
    <w:rsid w:val="1A76C50A"/>
    <w:rsid w:val="1CAE2A9D"/>
    <w:rsid w:val="2151EC68"/>
    <w:rsid w:val="2336D705"/>
    <w:rsid w:val="24E9972B"/>
    <w:rsid w:val="25BCBD84"/>
    <w:rsid w:val="2B6F5D25"/>
    <w:rsid w:val="2C77DF4A"/>
    <w:rsid w:val="31679FF8"/>
    <w:rsid w:val="32E0C7DA"/>
    <w:rsid w:val="3347A892"/>
    <w:rsid w:val="36415A93"/>
    <w:rsid w:val="36B723E5"/>
    <w:rsid w:val="37992835"/>
    <w:rsid w:val="381B19B5"/>
    <w:rsid w:val="3A6E37CF"/>
    <w:rsid w:val="3D27577B"/>
    <w:rsid w:val="3E95180D"/>
    <w:rsid w:val="3FCD915C"/>
    <w:rsid w:val="44E48D15"/>
    <w:rsid w:val="44F80C20"/>
    <w:rsid w:val="485BDD21"/>
    <w:rsid w:val="4B1BB6A6"/>
    <w:rsid w:val="4DDF4938"/>
    <w:rsid w:val="4ED2CA90"/>
    <w:rsid w:val="4F88E532"/>
    <w:rsid w:val="5C010263"/>
    <w:rsid w:val="5C03A019"/>
    <w:rsid w:val="5C1D51EE"/>
    <w:rsid w:val="5D3C9F8F"/>
    <w:rsid w:val="5DB9224F"/>
    <w:rsid w:val="60744051"/>
    <w:rsid w:val="6269EAF3"/>
    <w:rsid w:val="66CA5978"/>
    <w:rsid w:val="6829FBCC"/>
    <w:rsid w:val="6B612E86"/>
    <w:rsid w:val="6DADB3CF"/>
    <w:rsid w:val="6F9A3F0B"/>
    <w:rsid w:val="6FD77702"/>
    <w:rsid w:val="70367299"/>
    <w:rsid w:val="7208BC7C"/>
    <w:rsid w:val="77D44035"/>
    <w:rsid w:val="79EC93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0BD69"/>
  <w15:docId w15:val="{39F7082F-533B-48E3-B0B9-EEF47D93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BulletPoint,Numbered Para 1,Dot pt,No Spacing1,List Paragraph Char Char Char,Indicator Text,List Paragraph1,Bullet Points,MAIN CONTENT,F5 List Paragraph,List Paragraph12,Colorful List - Accent 11,Normal numbered,OBC Bullet,List Paragraph2"/>
    <w:basedOn w:val="Normal"/>
    <w:link w:val="ListParagraphChar"/>
    <w:uiPriority w:val="34"/>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3772A0"/>
    <w:rPr>
      <w:color w:val="605E5C"/>
      <w:shd w:val="clear" w:color="auto" w:fill="E1DFDD"/>
    </w:rPr>
  </w:style>
  <w:style w:type="paragraph" w:customStyle="1" w:styleId="StyleListParagraphBold">
    <w:name w:val="Style List Paragraph + Bold"/>
    <w:basedOn w:val="ListParagraph"/>
    <w:rsid w:val="0026258C"/>
    <w:rPr>
      <w:rFonts w:eastAsia="Calibri" w:cs="Arial"/>
      <w:b/>
      <w:bCs/>
      <w:color w:val="000000"/>
      <w:szCs w:val="22"/>
      <w:lang w:eastAsia="en-GB"/>
    </w:rPr>
  </w:style>
  <w:style w:type="character" w:customStyle="1" w:styleId="ListParagraphChar">
    <w:name w:val="List Paragraph Char"/>
    <w:aliases w:val="BulletPoint Char,Numbered Para 1 Char,Dot pt Char,No Spacing1 Char,List Paragraph Char Char Char Char,Indicator Text Char,List Paragraph1 Char,Bullet Points Char,MAIN CONTENT Char,F5 List Paragraph Char,List Paragraph12 Char"/>
    <w:basedOn w:val="DefaultParagraphFont"/>
    <w:link w:val="ListParagraph"/>
    <w:uiPriority w:val="34"/>
    <w:qFormat/>
    <w:rsid w:val="006A2D90"/>
    <w:rPr>
      <w:rFonts w:ascii="Arial" w:hAnsi="Arial"/>
      <w:sz w:val="24"/>
      <w:lang w:eastAsia="en-US"/>
    </w:rPr>
  </w:style>
  <w:style w:type="character" w:styleId="CommentReference">
    <w:name w:val="annotation reference"/>
    <w:basedOn w:val="DefaultParagraphFont"/>
    <w:semiHidden/>
    <w:unhideWhenUsed/>
    <w:rsid w:val="009A1352"/>
    <w:rPr>
      <w:sz w:val="16"/>
      <w:szCs w:val="16"/>
    </w:rPr>
  </w:style>
  <w:style w:type="paragraph" w:styleId="CommentText">
    <w:name w:val="annotation text"/>
    <w:basedOn w:val="Normal"/>
    <w:link w:val="CommentTextChar"/>
    <w:unhideWhenUsed/>
    <w:rsid w:val="009A1352"/>
    <w:rPr>
      <w:sz w:val="20"/>
    </w:rPr>
  </w:style>
  <w:style w:type="character" w:customStyle="1" w:styleId="CommentTextChar">
    <w:name w:val="Comment Text Char"/>
    <w:basedOn w:val="DefaultParagraphFont"/>
    <w:link w:val="CommentText"/>
    <w:rsid w:val="009A1352"/>
    <w:rPr>
      <w:rFonts w:ascii="Arial" w:hAnsi="Arial"/>
      <w:lang w:eastAsia="en-US"/>
    </w:rPr>
  </w:style>
  <w:style w:type="paragraph" w:styleId="CommentSubject">
    <w:name w:val="annotation subject"/>
    <w:basedOn w:val="CommentText"/>
    <w:next w:val="CommentText"/>
    <w:link w:val="CommentSubjectChar"/>
    <w:semiHidden/>
    <w:unhideWhenUsed/>
    <w:rsid w:val="009A1352"/>
    <w:rPr>
      <w:b/>
      <w:bCs/>
    </w:rPr>
  </w:style>
  <w:style w:type="character" w:customStyle="1" w:styleId="CommentSubjectChar">
    <w:name w:val="Comment Subject Char"/>
    <w:basedOn w:val="CommentTextChar"/>
    <w:link w:val="CommentSubject"/>
    <w:semiHidden/>
    <w:rsid w:val="009A1352"/>
    <w:rPr>
      <w:rFonts w:ascii="Arial" w:hAnsi="Arial"/>
      <w:b/>
      <w:bCs/>
      <w:lang w:eastAsia="en-US"/>
    </w:rPr>
  </w:style>
  <w:style w:type="paragraph" w:styleId="Revision">
    <w:name w:val="Revision"/>
    <w:hidden/>
    <w:uiPriority w:val="99"/>
    <w:semiHidden/>
    <w:rsid w:val="006E456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1961">
      <w:bodyDiv w:val="1"/>
      <w:marLeft w:val="0"/>
      <w:marRight w:val="0"/>
      <w:marTop w:val="0"/>
      <w:marBottom w:val="0"/>
      <w:divBdr>
        <w:top w:val="none" w:sz="0" w:space="0" w:color="auto"/>
        <w:left w:val="none" w:sz="0" w:space="0" w:color="auto"/>
        <w:bottom w:val="none" w:sz="0" w:space="0" w:color="auto"/>
        <w:right w:val="none" w:sz="0" w:space="0" w:color="auto"/>
      </w:divBdr>
    </w:div>
    <w:div w:id="593366653">
      <w:bodyDiv w:val="1"/>
      <w:marLeft w:val="0"/>
      <w:marRight w:val="0"/>
      <w:marTop w:val="0"/>
      <w:marBottom w:val="0"/>
      <w:divBdr>
        <w:top w:val="none" w:sz="0" w:space="0" w:color="auto"/>
        <w:left w:val="none" w:sz="0" w:space="0" w:color="auto"/>
        <w:bottom w:val="none" w:sz="0" w:space="0" w:color="auto"/>
        <w:right w:val="none" w:sz="0" w:space="0" w:color="auto"/>
      </w:divBdr>
      <w:divsChild>
        <w:div w:id="42101455">
          <w:marLeft w:val="0"/>
          <w:marRight w:val="0"/>
          <w:marTop w:val="0"/>
          <w:marBottom w:val="0"/>
          <w:divBdr>
            <w:top w:val="none" w:sz="0" w:space="0" w:color="auto"/>
            <w:left w:val="none" w:sz="0" w:space="0" w:color="auto"/>
            <w:bottom w:val="none" w:sz="0" w:space="0" w:color="auto"/>
            <w:right w:val="none" w:sz="0" w:space="0" w:color="auto"/>
          </w:divBdr>
        </w:div>
        <w:div w:id="92672389">
          <w:marLeft w:val="0"/>
          <w:marRight w:val="0"/>
          <w:marTop w:val="0"/>
          <w:marBottom w:val="0"/>
          <w:divBdr>
            <w:top w:val="none" w:sz="0" w:space="0" w:color="auto"/>
            <w:left w:val="none" w:sz="0" w:space="0" w:color="auto"/>
            <w:bottom w:val="none" w:sz="0" w:space="0" w:color="auto"/>
            <w:right w:val="none" w:sz="0" w:space="0" w:color="auto"/>
          </w:divBdr>
        </w:div>
        <w:div w:id="102651905">
          <w:marLeft w:val="0"/>
          <w:marRight w:val="0"/>
          <w:marTop w:val="0"/>
          <w:marBottom w:val="0"/>
          <w:divBdr>
            <w:top w:val="none" w:sz="0" w:space="0" w:color="auto"/>
            <w:left w:val="none" w:sz="0" w:space="0" w:color="auto"/>
            <w:bottom w:val="none" w:sz="0" w:space="0" w:color="auto"/>
            <w:right w:val="none" w:sz="0" w:space="0" w:color="auto"/>
          </w:divBdr>
        </w:div>
        <w:div w:id="156501042">
          <w:marLeft w:val="0"/>
          <w:marRight w:val="0"/>
          <w:marTop w:val="0"/>
          <w:marBottom w:val="0"/>
          <w:divBdr>
            <w:top w:val="none" w:sz="0" w:space="0" w:color="auto"/>
            <w:left w:val="none" w:sz="0" w:space="0" w:color="auto"/>
            <w:bottom w:val="none" w:sz="0" w:space="0" w:color="auto"/>
            <w:right w:val="none" w:sz="0" w:space="0" w:color="auto"/>
          </w:divBdr>
        </w:div>
        <w:div w:id="219175573">
          <w:marLeft w:val="0"/>
          <w:marRight w:val="0"/>
          <w:marTop w:val="0"/>
          <w:marBottom w:val="0"/>
          <w:divBdr>
            <w:top w:val="none" w:sz="0" w:space="0" w:color="auto"/>
            <w:left w:val="none" w:sz="0" w:space="0" w:color="auto"/>
            <w:bottom w:val="none" w:sz="0" w:space="0" w:color="auto"/>
            <w:right w:val="none" w:sz="0" w:space="0" w:color="auto"/>
          </w:divBdr>
        </w:div>
        <w:div w:id="439763253">
          <w:marLeft w:val="0"/>
          <w:marRight w:val="0"/>
          <w:marTop w:val="0"/>
          <w:marBottom w:val="0"/>
          <w:divBdr>
            <w:top w:val="none" w:sz="0" w:space="0" w:color="auto"/>
            <w:left w:val="none" w:sz="0" w:space="0" w:color="auto"/>
            <w:bottom w:val="none" w:sz="0" w:space="0" w:color="auto"/>
            <w:right w:val="none" w:sz="0" w:space="0" w:color="auto"/>
          </w:divBdr>
        </w:div>
        <w:div w:id="586769211">
          <w:marLeft w:val="0"/>
          <w:marRight w:val="0"/>
          <w:marTop w:val="0"/>
          <w:marBottom w:val="0"/>
          <w:divBdr>
            <w:top w:val="none" w:sz="0" w:space="0" w:color="auto"/>
            <w:left w:val="none" w:sz="0" w:space="0" w:color="auto"/>
            <w:bottom w:val="none" w:sz="0" w:space="0" w:color="auto"/>
            <w:right w:val="none" w:sz="0" w:space="0" w:color="auto"/>
          </w:divBdr>
          <w:divsChild>
            <w:div w:id="1030643993">
              <w:marLeft w:val="-75"/>
              <w:marRight w:val="0"/>
              <w:marTop w:val="30"/>
              <w:marBottom w:val="30"/>
              <w:divBdr>
                <w:top w:val="none" w:sz="0" w:space="0" w:color="auto"/>
                <w:left w:val="none" w:sz="0" w:space="0" w:color="auto"/>
                <w:bottom w:val="none" w:sz="0" w:space="0" w:color="auto"/>
                <w:right w:val="none" w:sz="0" w:space="0" w:color="auto"/>
              </w:divBdr>
              <w:divsChild>
                <w:div w:id="231241494">
                  <w:marLeft w:val="0"/>
                  <w:marRight w:val="0"/>
                  <w:marTop w:val="0"/>
                  <w:marBottom w:val="0"/>
                  <w:divBdr>
                    <w:top w:val="none" w:sz="0" w:space="0" w:color="auto"/>
                    <w:left w:val="none" w:sz="0" w:space="0" w:color="auto"/>
                    <w:bottom w:val="none" w:sz="0" w:space="0" w:color="auto"/>
                    <w:right w:val="none" w:sz="0" w:space="0" w:color="auto"/>
                  </w:divBdr>
                  <w:divsChild>
                    <w:div w:id="59450935">
                      <w:marLeft w:val="0"/>
                      <w:marRight w:val="0"/>
                      <w:marTop w:val="0"/>
                      <w:marBottom w:val="0"/>
                      <w:divBdr>
                        <w:top w:val="none" w:sz="0" w:space="0" w:color="auto"/>
                        <w:left w:val="none" w:sz="0" w:space="0" w:color="auto"/>
                        <w:bottom w:val="none" w:sz="0" w:space="0" w:color="auto"/>
                        <w:right w:val="none" w:sz="0" w:space="0" w:color="auto"/>
                      </w:divBdr>
                    </w:div>
                  </w:divsChild>
                </w:div>
                <w:div w:id="543061009">
                  <w:marLeft w:val="0"/>
                  <w:marRight w:val="0"/>
                  <w:marTop w:val="0"/>
                  <w:marBottom w:val="0"/>
                  <w:divBdr>
                    <w:top w:val="none" w:sz="0" w:space="0" w:color="auto"/>
                    <w:left w:val="none" w:sz="0" w:space="0" w:color="auto"/>
                    <w:bottom w:val="none" w:sz="0" w:space="0" w:color="auto"/>
                    <w:right w:val="none" w:sz="0" w:space="0" w:color="auto"/>
                  </w:divBdr>
                  <w:divsChild>
                    <w:div w:id="562644774">
                      <w:marLeft w:val="0"/>
                      <w:marRight w:val="0"/>
                      <w:marTop w:val="0"/>
                      <w:marBottom w:val="0"/>
                      <w:divBdr>
                        <w:top w:val="none" w:sz="0" w:space="0" w:color="auto"/>
                        <w:left w:val="none" w:sz="0" w:space="0" w:color="auto"/>
                        <w:bottom w:val="none" w:sz="0" w:space="0" w:color="auto"/>
                        <w:right w:val="none" w:sz="0" w:space="0" w:color="auto"/>
                      </w:divBdr>
                    </w:div>
                  </w:divsChild>
                </w:div>
                <w:div w:id="610943622">
                  <w:marLeft w:val="0"/>
                  <w:marRight w:val="0"/>
                  <w:marTop w:val="0"/>
                  <w:marBottom w:val="0"/>
                  <w:divBdr>
                    <w:top w:val="none" w:sz="0" w:space="0" w:color="auto"/>
                    <w:left w:val="none" w:sz="0" w:space="0" w:color="auto"/>
                    <w:bottom w:val="none" w:sz="0" w:space="0" w:color="auto"/>
                    <w:right w:val="none" w:sz="0" w:space="0" w:color="auto"/>
                  </w:divBdr>
                  <w:divsChild>
                    <w:div w:id="1103459177">
                      <w:marLeft w:val="0"/>
                      <w:marRight w:val="0"/>
                      <w:marTop w:val="0"/>
                      <w:marBottom w:val="0"/>
                      <w:divBdr>
                        <w:top w:val="none" w:sz="0" w:space="0" w:color="auto"/>
                        <w:left w:val="none" w:sz="0" w:space="0" w:color="auto"/>
                        <w:bottom w:val="none" w:sz="0" w:space="0" w:color="auto"/>
                        <w:right w:val="none" w:sz="0" w:space="0" w:color="auto"/>
                      </w:divBdr>
                    </w:div>
                  </w:divsChild>
                </w:div>
                <w:div w:id="663973667">
                  <w:marLeft w:val="0"/>
                  <w:marRight w:val="0"/>
                  <w:marTop w:val="0"/>
                  <w:marBottom w:val="0"/>
                  <w:divBdr>
                    <w:top w:val="none" w:sz="0" w:space="0" w:color="auto"/>
                    <w:left w:val="none" w:sz="0" w:space="0" w:color="auto"/>
                    <w:bottom w:val="none" w:sz="0" w:space="0" w:color="auto"/>
                    <w:right w:val="none" w:sz="0" w:space="0" w:color="auto"/>
                  </w:divBdr>
                  <w:divsChild>
                    <w:div w:id="1162087289">
                      <w:marLeft w:val="0"/>
                      <w:marRight w:val="0"/>
                      <w:marTop w:val="0"/>
                      <w:marBottom w:val="0"/>
                      <w:divBdr>
                        <w:top w:val="none" w:sz="0" w:space="0" w:color="auto"/>
                        <w:left w:val="none" w:sz="0" w:space="0" w:color="auto"/>
                        <w:bottom w:val="none" w:sz="0" w:space="0" w:color="auto"/>
                        <w:right w:val="none" w:sz="0" w:space="0" w:color="auto"/>
                      </w:divBdr>
                    </w:div>
                  </w:divsChild>
                </w:div>
                <w:div w:id="1057898414">
                  <w:marLeft w:val="0"/>
                  <w:marRight w:val="0"/>
                  <w:marTop w:val="0"/>
                  <w:marBottom w:val="0"/>
                  <w:divBdr>
                    <w:top w:val="none" w:sz="0" w:space="0" w:color="auto"/>
                    <w:left w:val="none" w:sz="0" w:space="0" w:color="auto"/>
                    <w:bottom w:val="none" w:sz="0" w:space="0" w:color="auto"/>
                    <w:right w:val="none" w:sz="0" w:space="0" w:color="auto"/>
                  </w:divBdr>
                  <w:divsChild>
                    <w:div w:id="543716622">
                      <w:marLeft w:val="0"/>
                      <w:marRight w:val="0"/>
                      <w:marTop w:val="0"/>
                      <w:marBottom w:val="0"/>
                      <w:divBdr>
                        <w:top w:val="none" w:sz="0" w:space="0" w:color="auto"/>
                        <w:left w:val="none" w:sz="0" w:space="0" w:color="auto"/>
                        <w:bottom w:val="none" w:sz="0" w:space="0" w:color="auto"/>
                        <w:right w:val="none" w:sz="0" w:space="0" w:color="auto"/>
                      </w:divBdr>
                    </w:div>
                    <w:div w:id="677271082">
                      <w:marLeft w:val="0"/>
                      <w:marRight w:val="0"/>
                      <w:marTop w:val="0"/>
                      <w:marBottom w:val="0"/>
                      <w:divBdr>
                        <w:top w:val="none" w:sz="0" w:space="0" w:color="auto"/>
                        <w:left w:val="none" w:sz="0" w:space="0" w:color="auto"/>
                        <w:bottom w:val="none" w:sz="0" w:space="0" w:color="auto"/>
                        <w:right w:val="none" w:sz="0" w:space="0" w:color="auto"/>
                      </w:divBdr>
                    </w:div>
                    <w:div w:id="801046772">
                      <w:marLeft w:val="0"/>
                      <w:marRight w:val="0"/>
                      <w:marTop w:val="0"/>
                      <w:marBottom w:val="0"/>
                      <w:divBdr>
                        <w:top w:val="none" w:sz="0" w:space="0" w:color="auto"/>
                        <w:left w:val="none" w:sz="0" w:space="0" w:color="auto"/>
                        <w:bottom w:val="none" w:sz="0" w:space="0" w:color="auto"/>
                        <w:right w:val="none" w:sz="0" w:space="0" w:color="auto"/>
                      </w:divBdr>
                    </w:div>
                  </w:divsChild>
                </w:div>
                <w:div w:id="1231698707">
                  <w:marLeft w:val="0"/>
                  <w:marRight w:val="0"/>
                  <w:marTop w:val="0"/>
                  <w:marBottom w:val="0"/>
                  <w:divBdr>
                    <w:top w:val="none" w:sz="0" w:space="0" w:color="auto"/>
                    <w:left w:val="none" w:sz="0" w:space="0" w:color="auto"/>
                    <w:bottom w:val="none" w:sz="0" w:space="0" w:color="auto"/>
                    <w:right w:val="none" w:sz="0" w:space="0" w:color="auto"/>
                  </w:divBdr>
                  <w:divsChild>
                    <w:div w:id="2030984891">
                      <w:marLeft w:val="0"/>
                      <w:marRight w:val="0"/>
                      <w:marTop w:val="0"/>
                      <w:marBottom w:val="0"/>
                      <w:divBdr>
                        <w:top w:val="none" w:sz="0" w:space="0" w:color="auto"/>
                        <w:left w:val="none" w:sz="0" w:space="0" w:color="auto"/>
                        <w:bottom w:val="none" w:sz="0" w:space="0" w:color="auto"/>
                        <w:right w:val="none" w:sz="0" w:space="0" w:color="auto"/>
                      </w:divBdr>
                    </w:div>
                  </w:divsChild>
                </w:div>
                <w:div w:id="1261599014">
                  <w:marLeft w:val="0"/>
                  <w:marRight w:val="0"/>
                  <w:marTop w:val="0"/>
                  <w:marBottom w:val="0"/>
                  <w:divBdr>
                    <w:top w:val="none" w:sz="0" w:space="0" w:color="auto"/>
                    <w:left w:val="none" w:sz="0" w:space="0" w:color="auto"/>
                    <w:bottom w:val="none" w:sz="0" w:space="0" w:color="auto"/>
                    <w:right w:val="none" w:sz="0" w:space="0" w:color="auto"/>
                  </w:divBdr>
                  <w:divsChild>
                    <w:div w:id="1663386210">
                      <w:marLeft w:val="0"/>
                      <w:marRight w:val="0"/>
                      <w:marTop w:val="0"/>
                      <w:marBottom w:val="0"/>
                      <w:divBdr>
                        <w:top w:val="none" w:sz="0" w:space="0" w:color="auto"/>
                        <w:left w:val="none" w:sz="0" w:space="0" w:color="auto"/>
                        <w:bottom w:val="none" w:sz="0" w:space="0" w:color="auto"/>
                        <w:right w:val="none" w:sz="0" w:space="0" w:color="auto"/>
                      </w:divBdr>
                    </w:div>
                  </w:divsChild>
                </w:div>
                <w:div w:id="1465847293">
                  <w:marLeft w:val="0"/>
                  <w:marRight w:val="0"/>
                  <w:marTop w:val="0"/>
                  <w:marBottom w:val="0"/>
                  <w:divBdr>
                    <w:top w:val="none" w:sz="0" w:space="0" w:color="auto"/>
                    <w:left w:val="none" w:sz="0" w:space="0" w:color="auto"/>
                    <w:bottom w:val="none" w:sz="0" w:space="0" w:color="auto"/>
                    <w:right w:val="none" w:sz="0" w:space="0" w:color="auto"/>
                  </w:divBdr>
                  <w:divsChild>
                    <w:div w:id="941839074">
                      <w:marLeft w:val="0"/>
                      <w:marRight w:val="0"/>
                      <w:marTop w:val="0"/>
                      <w:marBottom w:val="0"/>
                      <w:divBdr>
                        <w:top w:val="none" w:sz="0" w:space="0" w:color="auto"/>
                        <w:left w:val="none" w:sz="0" w:space="0" w:color="auto"/>
                        <w:bottom w:val="none" w:sz="0" w:space="0" w:color="auto"/>
                        <w:right w:val="none" w:sz="0" w:space="0" w:color="auto"/>
                      </w:divBdr>
                    </w:div>
                  </w:divsChild>
                </w:div>
                <w:div w:id="1818835170">
                  <w:marLeft w:val="0"/>
                  <w:marRight w:val="0"/>
                  <w:marTop w:val="0"/>
                  <w:marBottom w:val="0"/>
                  <w:divBdr>
                    <w:top w:val="none" w:sz="0" w:space="0" w:color="auto"/>
                    <w:left w:val="none" w:sz="0" w:space="0" w:color="auto"/>
                    <w:bottom w:val="none" w:sz="0" w:space="0" w:color="auto"/>
                    <w:right w:val="none" w:sz="0" w:space="0" w:color="auto"/>
                  </w:divBdr>
                  <w:divsChild>
                    <w:div w:id="16608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8740">
          <w:marLeft w:val="0"/>
          <w:marRight w:val="0"/>
          <w:marTop w:val="0"/>
          <w:marBottom w:val="0"/>
          <w:divBdr>
            <w:top w:val="none" w:sz="0" w:space="0" w:color="auto"/>
            <w:left w:val="none" w:sz="0" w:space="0" w:color="auto"/>
            <w:bottom w:val="none" w:sz="0" w:space="0" w:color="auto"/>
            <w:right w:val="none" w:sz="0" w:space="0" w:color="auto"/>
          </w:divBdr>
        </w:div>
        <w:div w:id="722749698">
          <w:marLeft w:val="0"/>
          <w:marRight w:val="0"/>
          <w:marTop w:val="0"/>
          <w:marBottom w:val="0"/>
          <w:divBdr>
            <w:top w:val="none" w:sz="0" w:space="0" w:color="auto"/>
            <w:left w:val="none" w:sz="0" w:space="0" w:color="auto"/>
            <w:bottom w:val="none" w:sz="0" w:space="0" w:color="auto"/>
            <w:right w:val="none" w:sz="0" w:space="0" w:color="auto"/>
          </w:divBdr>
        </w:div>
        <w:div w:id="743599802">
          <w:marLeft w:val="0"/>
          <w:marRight w:val="0"/>
          <w:marTop w:val="0"/>
          <w:marBottom w:val="0"/>
          <w:divBdr>
            <w:top w:val="none" w:sz="0" w:space="0" w:color="auto"/>
            <w:left w:val="none" w:sz="0" w:space="0" w:color="auto"/>
            <w:bottom w:val="none" w:sz="0" w:space="0" w:color="auto"/>
            <w:right w:val="none" w:sz="0" w:space="0" w:color="auto"/>
          </w:divBdr>
        </w:div>
        <w:div w:id="822697308">
          <w:marLeft w:val="0"/>
          <w:marRight w:val="0"/>
          <w:marTop w:val="0"/>
          <w:marBottom w:val="0"/>
          <w:divBdr>
            <w:top w:val="none" w:sz="0" w:space="0" w:color="auto"/>
            <w:left w:val="none" w:sz="0" w:space="0" w:color="auto"/>
            <w:bottom w:val="none" w:sz="0" w:space="0" w:color="auto"/>
            <w:right w:val="none" w:sz="0" w:space="0" w:color="auto"/>
          </w:divBdr>
        </w:div>
        <w:div w:id="824973136">
          <w:marLeft w:val="0"/>
          <w:marRight w:val="0"/>
          <w:marTop w:val="0"/>
          <w:marBottom w:val="0"/>
          <w:divBdr>
            <w:top w:val="none" w:sz="0" w:space="0" w:color="auto"/>
            <w:left w:val="none" w:sz="0" w:space="0" w:color="auto"/>
            <w:bottom w:val="none" w:sz="0" w:space="0" w:color="auto"/>
            <w:right w:val="none" w:sz="0" w:space="0" w:color="auto"/>
          </w:divBdr>
        </w:div>
        <w:div w:id="836918759">
          <w:marLeft w:val="0"/>
          <w:marRight w:val="0"/>
          <w:marTop w:val="0"/>
          <w:marBottom w:val="0"/>
          <w:divBdr>
            <w:top w:val="none" w:sz="0" w:space="0" w:color="auto"/>
            <w:left w:val="none" w:sz="0" w:space="0" w:color="auto"/>
            <w:bottom w:val="none" w:sz="0" w:space="0" w:color="auto"/>
            <w:right w:val="none" w:sz="0" w:space="0" w:color="auto"/>
          </w:divBdr>
        </w:div>
        <w:div w:id="840002249">
          <w:marLeft w:val="0"/>
          <w:marRight w:val="0"/>
          <w:marTop w:val="0"/>
          <w:marBottom w:val="0"/>
          <w:divBdr>
            <w:top w:val="none" w:sz="0" w:space="0" w:color="auto"/>
            <w:left w:val="none" w:sz="0" w:space="0" w:color="auto"/>
            <w:bottom w:val="none" w:sz="0" w:space="0" w:color="auto"/>
            <w:right w:val="none" w:sz="0" w:space="0" w:color="auto"/>
          </w:divBdr>
        </w:div>
        <w:div w:id="911044146">
          <w:marLeft w:val="0"/>
          <w:marRight w:val="0"/>
          <w:marTop w:val="0"/>
          <w:marBottom w:val="0"/>
          <w:divBdr>
            <w:top w:val="none" w:sz="0" w:space="0" w:color="auto"/>
            <w:left w:val="none" w:sz="0" w:space="0" w:color="auto"/>
            <w:bottom w:val="none" w:sz="0" w:space="0" w:color="auto"/>
            <w:right w:val="none" w:sz="0" w:space="0" w:color="auto"/>
          </w:divBdr>
        </w:div>
        <w:div w:id="1191918924">
          <w:marLeft w:val="0"/>
          <w:marRight w:val="0"/>
          <w:marTop w:val="0"/>
          <w:marBottom w:val="0"/>
          <w:divBdr>
            <w:top w:val="none" w:sz="0" w:space="0" w:color="auto"/>
            <w:left w:val="none" w:sz="0" w:space="0" w:color="auto"/>
            <w:bottom w:val="none" w:sz="0" w:space="0" w:color="auto"/>
            <w:right w:val="none" w:sz="0" w:space="0" w:color="auto"/>
          </w:divBdr>
        </w:div>
        <w:div w:id="1239560236">
          <w:marLeft w:val="0"/>
          <w:marRight w:val="0"/>
          <w:marTop w:val="0"/>
          <w:marBottom w:val="0"/>
          <w:divBdr>
            <w:top w:val="none" w:sz="0" w:space="0" w:color="auto"/>
            <w:left w:val="none" w:sz="0" w:space="0" w:color="auto"/>
            <w:bottom w:val="none" w:sz="0" w:space="0" w:color="auto"/>
            <w:right w:val="none" w:sz="0" w:space="0" w:color="auto"/>
          </w:divBdr>
        </w:div>
        <w:div w:id="1609386283">
          <w:marLeft w:val="0"/>
          <w:marRight w:val="0"/>
          <w:marTop w:val="0"/>
          <w:marBottom w:val="0"/>
          <w:divBdr>
            <w:top w:val="none" w:sz="0" w:space="0" w:color="auto"/>
            <w:left w:val="none" w:sz="0" w:space="0" w:color="auto"/>
            <w:bottom w:val="none" w:sz="0" w:space="0" w:color="auto"/>
            <w:right w:val="none" w:sz="0" w:space="0" w:color="auto"/>
          </w:divBdr>
        </w:div>
        <w:div w:id="1630552964">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811245510">
          <w:marLeft w:val="0"/>
          <w:marRight w:val="0"/>
          <w:marTop w:val="0"/>
          <w:marBottom w:val="0"/>
          <w:divBdr>
            <w:top w:val="none" w:sz="0" w:space="0" w:color="auto"/>
            <w:left w:val="none" w:sz="0" w:space="0" w:color="auto"/>
            <w:bottom w:val="none" w:sz="0" w:space="0" w:color="auto"/>
            <w:right w:val="none" w:sz="0" w:space="0" w:color="auto"/>
          </w:divBdr>
        </w:div>
        <w:div w:id="1888176358">
          <w:marLeft w:val="0"/>
          <w:marRight w:val="0"/>
          <w:marTop w:val="0"/>
          <w:marBottom w:val="0"/>
          <w:divBdr>
            <w:top w:val="none" w:sz="0" w:space="0" w:color="auto"/>
            <w:left w:val="none" w:sz="0" w:space="0" w:color="auto"/>
            <w:bottom w:val="none" w:sz="0" w:space="0" w:color="auto"/>
            <w:right w:val="none" w:sz="0" w:space="0" w:color="auto"/>
          </w:divBdr>
        </w:div>
        <w:div w:id="2041127792">
          <w:marLeft w:val="0"/>
          <w:marRight w:val="0"/>
          <w:marTop w:val="0"/>
          <w:marBottom w:val="0"/>
          <w:divBdr>
            <w:top w:val="none" w:sz="0" w:space="0" w:color="auto"/>
            <w:left w:val="none" w:sz="0" w:space="0" w:color="auto"/>
            <w:bottom w:val="none" w:sz="0" w:space="0" w:color="auto"/>
            <w:right w:val="none" w:sz="0" w:space="0" w:color="auto"/>
          </w:divBdr>
        </w:div>
        <w:div w:id="2107193678">
          <w:marLeft w:val="0"/>
          <w:marRight w:val="0"/>
          <w:marTop w:val="0"/>
          <w:marBottom w:val="0"/>
          <w:divBdr>
            <w:top w:val="none" w:sz="0" w:space="0" w:color="auto"/>
            <w:left w:val="none" w:sz="0" w:space="0" w:color="auto"/>
            <w:bottom w:val="none" w:sz="0" w:space="0" w:color="auto"/>
            <w:right w:val="none" w:sz="0" w:space="0" w:color="auto"/>
          </w:divBdr>
        </w:div>
      </w:divsChild>
    </w:div>
    <w:div w:id="790560877">
      <w:bodyDiv w:val="1"/>
      <w:marLeft w:val="0"/>
      <w:marRight w:val="0"/>
      <w:marTop w:val="0"/>
      <w:marBottom w:val="0"/>
      <w:divBdr>
        <w:top w:val="none" w:sz="0" w:space="0" w:color="auto"/>
        <w:left w:val="none" w:sz="0" w:space="0" w:color="auto"/>
        <w:bottom w:val="none" w:sz="0" w:space="0" w:color="auto"/>
        <w:right w:val="none" w:sz="0" w:space="0" w:color="auto"/>
      </w:divBdr>
    </w:div>
    <w:div w:id="11744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rrow.gov.uk/downloads/file/31683/HAR_PH_HEALTH_AND_WELLBEING_STRATEGY_web_v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e.Furlong@harrow.gov.uk" TargetMode="External"/><Relationship Id="rId5" Type="http://schemas.openxmlformats.org/officeDocument/2006/relationships/webSettings" Target="webSettings.xml"/><Relationship Id="rId10" Type="http://schemas.openxmlformats.org/officeDocument/2006/relationships/hyperlink" Target="https://eur01.safelinks.protection.outlook.com/?url=https%3A%2F%2Fwww.london.gov.uk%2Fprogrammes-strategies%2Fhealth-and-wellbeing%2Fhealthy-early-years-london&amp;data=05%7C02%7CAndrea.Lagos%40harrow.gov.uk%7Cb9c90f6289384c76b40d08dbffeba86e%7Cd2c39953a8db4c3c97f2d2dc76fb3e2c%7C0%7C0%7C638385160043137128%7CUnknown%7CTWFpbGZsb3d8eyJWIjoiMC4wLjAwMDAiLCJQIjoiV2luMzIiLCJBTiI6Ik1haWwiLCJXVCI6Mn0%3D%7C3000%7C%7C%7C&amp;sdata=ntw9zoLe4VhRV1BU0m%2FQeGWvKBPWGwoLHK%2BLN62Itg4%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london.gov.uk%2Fwhat-we-do%2Fhealth%2Fhealthy-schools-london%2Fawards%2Fhome&amp;data=05%7C02%7CAndrea.Lagos%40harrow.gov.uk%7Cb9c90f6289384c76b40d08dbffeba86e%7Cd2c39953a8db4c3c97f2d2dc76fb3e2c%7C0%7C0%7C638385160042980869%7CUnknown%7CTWFpbGZsb3d8eyJWIjoiMC4wLjAwMDAiLCJQIjoiV2luMzIiLCJBTiI6Ik1haWwiLCJXVCI6Mn0%3D%7C3000%7C%7C%7C&amp;sdata=X9cqWUx0O%2Bl6XysVPjLcOQwb%2BVu%2FMj29mbIM0BIDzYo%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815A-D256-45E0-BBB4-5B255B26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1898</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13583</CharactersWithSpaces>
  <SharedDoc>false</SharedDoc>
  <HLinks>
    <vt:vector size="24" baseType="variant">
      <vt:variant>
        <vt:i4>852071</vt:i4>
      </vt:variant>
      <vt:variant>
        <vt:i4>9</vt:i4>
      </vt:variant>
      <vt:variant>
        <vt:i4>0</vt:i4>
      </vt:variant>
      <vt:variant>
        <vt:i4>5</vt:i4>
      </vt:variant>
      <vt:variant>
        <vt:lpwstr>https://www.harrow.gov.uk/downloads/file/31683/HAR_PH_HEALTH_AND_WELLBEING_STRATEGY_web_v2.pdf</vt:lpwstr>
      </vt:variant>
      <vt:variant>
        <vt:lpwstr/>
      </vt:variant>
      <vt:variant>
        <vt:i4>393255</vt:i4>
      </vt:variant>
      <vt:variant>
        <vt:i4>6</vt:i4>
      </vt:variant>
      <vt:variant>
        <vt:i4>0</vt:i4>
      </vt:variant>
      <vt:variant>
        <vt:i4>5</vt:i4>
      </vt:variant>
      <vt:variant>
        <vt:lpwstr>mailto:Carole.Furlong@harrow.gov.uk</vt:lpwstr>
      </vt:variant>
      <vt:variant>
        <vt:lpwstr/>
      </vt:variant>
      <vt:variant>
        <vt:i4>7340079</vt:i4>
      </vt:variant>
      <vt:variant>
        <vt:i4>3</vt:i4>
      </vt:variant>
      <vt:variant>
        <vt:i4>0</vt:i4>
      </vt:variant>
      <vt:variant>
        <vt:i4>5</vt:i4>
      </vt:variant>
      <vt:variant>
        <vt:lpwstr>https://eur01.safelinks.protection.outlook.com/?url=https%3A%2F%2Fwww.london.gov.uk%2Fprogrammes-strategies%2Fhealth-and-wellbeing%2Fhealthy-early-years-london&amp;data=05%7C02%7CAndrea.Lagos%40harrow.gov.uk%7Cb9c90f6289384c76b40d08dbffeba86e%7Cd2c39953a8db4c3c97f2d2dc76fb3e2c%7C0%7C0%7C638385160043137128%7CUnknown%7CTWFpbGZsb3d8eyJWIjoiMC4wLjAwMDAiLCJQIjoiV2luMzIiLCJBTiI6Ik1haWwiLCJXVCI6Mn0%3D%7C3000%7C%7C%7C&amp;sdata=ntw9zoLe4VhRV1BU0m%2FQeGWvKBPWGwoLHK%2BLN62Itg4%3D&amp;reserved=0</vt:lpwstr>
      </vt:variant>
      <vt:variant>
        <vt:lpwstr/>
      </vt:variant>
      <vt:variant>
        <vt:i4>2293823</vt:i4>
      </vt:variant>
      <vt:variant>
        <vt:i4>0</vt:i4>
      </vt:variant>
      <vt:variant>
        <vt:i4>0</vt:i4>
      </vt:variant>
      <vt:variant>
        <vt:i4>5</vt:i4>
      </vt:variant>
      <vt:variant>
        <vt:lpwstr>https://eur01.safelinks.protection.outlook.com/?url=https%3A%2F%2Fwww.london.gov.uk%2Fwhat-we-do%2Fhealth%2Fhealthy-schools-london%2Fawards%2Fhome&amp;data=05%7C02%7CAndrea.Lagos%40harrow.gov.uk%7Cb9c90f6289384c76b40d08dbffeba86e%7Cd2c39953a8db4c3c97f2d2dc76fb3e2c%7C0%7C0%7C638385160042980869%7CUnknown%7CTWFpbGZsb3d8eyJWIjoiMC4wLjAwMDAiLCJQIjoiV2luMzIiLCJBTiI6Ik1haWwiLCJXVCI6Mn0%3D%7C3000%7C%7C%7C&amp;sdata=X9cqWUx0O%2Bl6XysVPjLcOQwb%2BVu%2FMj29mbIM0BIDzY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Alison Atherton</cp:lastModifiedBy>
  <cp:revision>4</cp:revision>
  <cp:lastPrinted>2007-07-12T17:53:00Z</cp:lastPrinted>
  <dcterms:created xsi:type="dcterms:W3CDTF">2024-01-12T11:57:00Z</dcterms:created>
  <dcterms:modified xsi:type="dcterms:W3CDTF">2024-01-12T12:24:00Z</dcterms:modified>
</cp:coreProperties>
</file>